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8CE6D1" w14:textId="24AB72CA" w:rsidR="00D931D8" w:rsidRPr="0052548E" w:rsidRDefault="00D931D8" w:rsidP="00D931D8">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9F63DB">
        <w:rPr>
          <w:rFonts w:ascii="Arial" w:hAnsi="Arial" w:cs="Arial"/>
          <w:b/>
          <w:bCs/>
          <w:sz w:val="28"/>
        </w:rPr>
        <w:t>R1-19</w:t>
      </w:r>
      <w:r w:rsidR="00A04446" w:rsidRPr="009F63DB">
        <w:rPr>
          <w:rFonts w:ascii="Arial" w:hAnsi="Arial" w:cs="Arial"/>
          <w:b/>
          <w:bCs/>
          <w:sz w:val="28"/>
        </w:rPr>
        <w:t>1111</w:t>
      </w:r>
      <w:r w:rsidR="009F63DB" w:rsidRPr="009F63DB">
        <w:rPr>
          <w:rFonts w:ascii="Arial" w:hAnsi="Arial" w:cs="Arial"/>
          <w:b/>
          <w:bCs/>
          <w:sz w:val="28"/>
        </w:rPr>
        <w:t>5</w:t>
      </w:r>
    </w:p>
    <w:p w14:paraId="7D7FA4EE" w14:textId="77777777" w:rsidR="00D931D8" w:rsidRPr="009513AC" w:rsidRDefault="00D931D8" w:rsidP="00D931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C13D76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D34355">
        <w:rPr>
          <w:rFonts w:ascii="Arial" w:hAnsi="Arial"/>
          <w:sz w:val="24"/>
        </w:rPr>
        <w:t>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052E9CA"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7F43">
        <w:rPr>
          <w:rFonts w:ascii="Arial" w:hAnsi="Arial"/>
          <w:sz w:val="24"/>
          <w:szCs w:val="24"/>
        </w:rPr>
        <w:t>RACH Procedure and UL Timing Control</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8895250" w14:textId="4F0AF67F" w:rsidR="009E5244" w:rsidRDefault="00D413A4" w:rsidP="00C43315">
      <w:pPr>
        <w:widowControl w:val="0"/>
        <w:jc w:val="both"/>
      </w:pPr>
      <w:r>
        <w:t>In RAN</w:t>
      </w:r>
      <w:r w:rsidR="004F5F0B">
        <w:t xml:space="preserve">1 #97, </w:t>
      </w:r>
      <w:r w:rsidR="009E5244">
        <w:t xml:space="preserve">the following agreement was </w:t>
      </w:r>
      <w:r w:rsidR="007F53A5">
        <w:t>reached</w:t>
      </w:r>
      <w:r w:rsidR="009E5244">
        <w:t xml:space="preserve"> for UL frequency control</w:t>
      </w:r>
      <w:r w:rsidR="00BA7B3F">
        <w:t xml:space="preserve"> [1]:</w:t>
      </w:r>
    </w:p>
    <w:p w14:paraId="40E79263" w14:textId="4A6DCFD9" w:rsidR="009E5244" w:rsidRPr="009E5244" w:rsidRDefault="00D413A4" w:rsidP="009E5244">
      <w:pPr>
        <w:rPr>
          <w:b/>
          <w:i/>
        </w:rPr>
      </w:pPr>
      <w:r>
        <w:t xml:space="preserve"> </w:t>
      </w:r>
      <w:r w:rsidR="009E5244" w:rsidRPr="009E5244">
        <w:rPr>
          <w:b/>
          <w:i/>
        </w:rPr>
        <w:t>Agreement:</w:t>
      </w:r>
    </w:p>
    <w:p w14:paraId="0EE7A79A" w14:textId="77777777" w:rsidR="009E5244" w:rsidRPr="009E5244" w:rsidRDefault="009E5244" w:rsidP="009E5244">
      <w:pPr>
        <w:ind w:left="288"/>
        <w:rPr>
          <w:i/>
        </w:rPr>
      </w:pPr>
      <w:r w:rsidRPr="009E5244">
        <w:rPr>
          <w:i/>
        </w:rPr>
        <w:t>For UL frequency compensation at least in LEO systems:</w:t>
      </w:r>
    </w:p>
    <w:p w14:paraId="681564EF" w14:textId="77777777" w:rsidR="009E5244" w:rsidRPr="009E5244" w:rsidRDefault="009E5244" w:rsidP="009E5244">
      <w:pPr>
        <w:numPr>
          <w:ilvl w:val="0"/>
          <w:numId w:val="56"/>
        </w:numPr>
        <w:overflowPunct/>
        <w:autoSpaceDE/>
        <w:autoSpaceDN/>
        <w:adjustRightInd/>
        <w:spacing w:after="0"/>
        <w:ind w:left="1008"/>
        <w:textAlignment w:val="auto"/>
        <w:rPr>
          <w:i/>
        </w:rPr>
      </w:pPr>
      <w:r w:rsidRPr="009E5244">
        <w:rPr>
          <w:i/>
        </w:rPr>
        <w:t xml:space="preserve">Both open and closed-loop can be studied </w:t>
      </w:r>
    </w:p>
    <w:p w14:paraId="17CE0230" w14:textId="77777777" w:rsidR="009E5244" w:rsidRPr="009E5244" w:rsidRDefault="009E5244" w:rsidP="009E5244">
      <w:pPr>
        <w:numPr>
          <w:ilvl w:val="1"/>
          <w:numId w:val="56"/>
        </w:numPr>
        <w:overflowPunct/>
        <w:autoSpaceDE/>
        <w:autoSpaceDN/>
        <w:adjustRightInd/>
        <w:spacing w:after="0"/>
        <w:ind w:left="1728"/>
        <w:textAlignment w:val="auto"/>
        <w:rPr>
          <w:i/>
        </w:rPr>
      </w:pPr>
      <w:r w:rsidRPr="009E5244">
        <w:rPr>
          <w:i/>
        </w:rPr>
        <w:t xml:space="preserve">Beam specific post-compensation of common frequency offset at </w:t>
      </w:r>
      <w:proofErr w:type="spellStart"/>
      <w:r w:rsidRPr="009E5244">
        <w:rPr>
          <w:i/>
        </w:rPr>
        <w:t>gNB</w:t>
      </w:r>
      <w:proofErr w:type="spellEnd"/>
      <w:r w:rsidRPr="009E5244">
        <w:rPr>
          <w:i/>
        </w:rPr>
        <w:t xml:space="preserve"> can be considered</w:t>
      </w:r>
    </w:p>
    <w:p w14:paraId="5536AB5A" w14:textId="77777777" w:rsidR="009E5244" w:rsidRPr="009E5244" w:rsidRDefault="009E5244" w:rsidP="009E5244">
      <w:pPr>
        <w:numPr>
          <w:ilvl w:val="2"/>
          <w:numId w:val="56"/>
        </w:numPr>
        <w:overflowPunct/>
        <w:autoSpaceDE/>
        <w:autoSpaceDN/>
        <w:adjustRightInd/>
        <w:spacing w:after="0"/>
        <w:ind w:left="2448"/>
        <w:textAlignment w:val="auto"/>
        <w:rPr>
          <w:i/>
        </w:rPr>
      </w:pPr>
      <w:r w:rsidRPr="009E5244">
        <w:rPr>
          <w:i/>
        </w:rPr>
        <w:t>FFS: Further indication of common frequency offset</w:t>
      </w:r>
    </w:p>
    <w:p w14:paraId="2D587337" w14:textId="77777777" w:rsidR="009E5244" w:rsidRPr="009E5244" w:rsidRDefault="009E5244" w:rsidP="009E5244">
      <w:pPr>
        <w:numPr>
          <w:ilvl w:val="2"/>
          <w:numId w:val="56"/>
        </w:numPr>
        <w:overflowPunct/>
        <w:autoSpaceDE/>
        <w:autoSpaceDN/>
        <w:adjustRightInd/>
        <w:spacing w:after="0"/>
        <w:ind w:left="2448"/>
        <w:textAlignment w:val="auto"/>
        <w:rPr>
          <w:i/>
        </w:rPr>
      </w:pPr>
      <w:r w:rsidRPr="009E5244">
        <w:rPr>
          <w:i/>
        </w:rPr>
        <w:t xml:space="preserve">FFS: </w:t>
      </w:r>
      <w:proofErr w:type="spellStart"/>
      <w:r w:rsidRPr="009E5244">
        <w:rPr>
          <w:i/>
        </w:rPr>
        <w:t>Signalling</w:t>
      </w:r>
      <w:proofErr w:type="spellEnd"/>
      <w:r w:rsidRPr="009E5244">
        <w:rPr>
          <w:i/>
        </w:rPr>
        <w:t xml:space="preserve"> details</w:t>
      </w:r>
    </w:p>
    <w:p w14:paraId="3548BE74" w14:textId="77777777" w:rsidR="009E5244" w:rsidRPr="009E5244" w:rsidRDefault="009E5244" w:rsidP="009E5244">
      <w:pPr>
        <w:numPr>
          <w:ilvl w:val="2"/>
          <w:numId w:val="56"/>
        </w:numPr>
        <w:overflowPunct/>
        <w:autoSpaceDE/>
        <w:autoSpaceDN/>
        <w:adjustRightInd/>
        <w:spacing w:after="0"/>
        <w:ind w:left="2448"/>
        <w:textAlignment w:val="auto"/>
        <w:rPr>
          <w:i/>
        </w:rPr>
      </w:pPr>
      <w:r w:rsidRPr="009E5244">
        <w:rPr>
          <w:i/>
        </w:rPr>
        <w:t>FFS: Compensation of common frequency offset at UE side</w:t>
      </w:r>
    </w:p>
    <w:p w14:paraId="42BF27D4" w14:textId="77777777" w:rsidR="009E5244" w:rsidRPr="009E5244" w:rsidRDefault="009E5244" w:rsidP="009E5244">
      <w:pPr>
        <w:numPr>
          <w:ilvl w:val="0"/>
          <w:numId w:val="56"/>
        </w:numPr>
        <w:overflowPunct/>
        <w:autoSpaceDE/>
        <w:autoSpaceDN/>
        <w:adjustRightInd/>
        <w:spacing w:after="0"/>
        <w:ind w:left="1008"/>
        <w:textAlignment w:val="auto"/>
        <w:rPr>
          <w:i/>
        </w:rPr>
      </w:pPr>
      <w:r w:rsidRPr="009E5244">
        <w:rPr>
          <w:i/>
        </w:rPr>
        <w:t>For Open-loop method:</w:t>
      </w:r>
    </w:p>
    <w:p w14:paraId="3A67D8FE" w14:textId="77777777" w:rsidR="009E5244" w:rsidRPr="009E5244" w:rsidRDefault="009E5244" w:rsidP="009E5244">
      <w:pPr>
        <w:numPr>
          <w:ilvl w:val="1"/>
          <w:numId w:val="56"/>
        </w:numPr>
        <w:overflowPunct/>
        <w:autoSpaceDE/>
        <w:autoSpaceDN/>
        <w:adjustRightInd/>
        <w:spacing w:after="0"/>
        <w:ind w:left="1728"/>
        <w:textAlignment w:val="auto"/>
        <w:rPr>
          <w:i/>
        </w:rPr>
      </w:pPr>
      <w:r w:rsidRPr="009E5244">
        <w:rPr>
          <w:i/>
        </w:rPr>
        <w:t>Estimation of UE-specific frequency offset and pre-compensation at UE side can be conducted based on:</w:t>
      </w:r>
    </w:p>
    <w:p w14:paraId="3CFC4E1B" w14:textId="77777777" w:rsidR="009E5244" w:rsidRPr="009E5244" w:rsidRDefault="009E5244" w:rsidP="009E5244">
      <w:pPr>
        <w:numPr>
          <w:ilvl w:val="2"/>
          <w:numId w:val="56"/>
        </w:numPr>
        <w:overflowPunct/>
        <w:autoSpaceDE/>
        <w:autoSpaceDN/>
        <w:adjustRightInd/>
        <w:spacing w:after="0"/>
        <w:ind w:left="2448"/>
        <w:textAlignment w:val="auto"/>
        <w:rPr>
          <w:i/>
        </w:rPr>
      </w:pPr>
      <w:r w:rsidRPr="009E5244">
        <w:rPr>
          <w:i/>
        </w:rPr>
        <w:t>DL RSs</w:t>
      </w:r>
    </w:p>
    <w:p w14:paraId="364D46BD" w14:textId="77777777" w:rsidR="009E5244" w:rsidRPr="009E5244" w:rsidRDefault="009E5244" w:rsidP="009E5244">
      <w:pPr>
        <w:numPr>
          <w:ilvl w:val="2"/>
          <w:numId w:val="56"/>
        </w:numPr>
        <w:overflowPunct/>
        <w:autoSpaceDE/>
        <w:autoSpaceDN/>
        <w:adjustRightInd/>
        <w:spacing w:after="0"/>
        <w:ind w:left="2448"/>
        <w:textAlignment w:val="auto"/>
        <w:rPr>
          <w:i/>
        </w:rPr>
      </w:pPr>
      <w:r w:rsidRPr="009E5244">
        <w:rPr>
          <w:i/>
        </w:rPr>
        <w:t>UE location and satellite ephemeris</w:t>
      </w:r>
    </w:p>
    <w:p w14:paraId="4D9F8DD6" w14:textId="77777777" w:rsidR="009E5244" w:rsidRPr="009E5244" w:rsidRDefault="009E5244" w:rsidP="009E5244">
      <w:pPr>
        <w:numPr>
          <w:ilvl w:val="3"/>
          <w:numId w:val="56"/>
        </w:numPr>
        <w:overflowPunct/>
        <w:autoSpaceDE/>
        <w:autoSpaceDN/>
        <w:adjustRightInd/>
        <w:spacing w:after="0"/>
        <w:ind w:left="3168"/>
        <w:textAlignment w:val="auto"/>
        <w:rPr>
          <w:i/>
        </w:rPr>
      </w:pPr>
      <w:r w:rsidRPr="009E5244">
        <w:rPr>
          <w:i/>
        </w:rPr>
        <w:t>FFS: Determination of UE location</w:t>
      </w:r>
    </w:p>
    <w:p w14:paraId="53690B2A" w14:textId="77777777" w:rsidR="00A01F7B" w:rsidRDefault="00DE08C1" w:rsidP="00C43315">
      <w:pPr>
        <w:widowControl w:val="0"/>
        <w:jc w:val="both"/>
      </w:pPr>
      <w:r>
        <w:t xml:space="preserve">For PRACH, the following agreement was made in RAN1 #97 </w:t>
      </w:r>
      <w:r w:rsidR="00462517">
        <w:t>[1]</w:t>
      </w:r>
      <w:r w:rsidR="00A01F7B">
        <w:t>:</w:t>
      </w:r>
    </w:p>
    <w:p w14:paraId="2529012A" w14:textId="77777777" w:rsidR="00A01F7B" w:rsidRPr="00A01F7B" w:rsidRDefault="00A01F7B" w:rsidP="00A01F7B">
      <w:pPr>
        <w:rPr>
          <w:b/>
          <w:i/>
        </w:rPr>
      </w:pPr>
      <w:r w:rsidRPr="00A01F7B">
        <w:rPr>
          <w:b/>
          <w:i/>
        </w:rPr>
        <w:t>Agreement:</w:t>
      </w:r>
    </w:p>
    <w:p w14:paraId="0A9F87CA" w14:textId="729F437F" w:rsidR="00A01F7B" w:rsidRPr="00BA7B3F" w:rsidRDefault="00A01F7B" w:rsidP="00BA7B3F">
      <w:pPr>
        <w:ind w:left="288"/>
        <w:rPr>
          <w:i/>
        </w:rPr>
      </w:pPr>
      <w:r w:rsidRPr="00A01F7B">
        <w:rPr>
          <w:i/>
        </w:rPr>
        <w:t>The scenarios where the Rel-15 PRACH design is sufficient and the scenarios where an extended or new PRACH design is required should be identified as part of the study</w:t>
      </w:r>
    </w:p>
    <w:p w14:paraId="43CD7113" w14:textId="77777777" w:rsidR="007C586D" w:rsidRPr="00F832C3" w:rsidRDefault="007C586D" w:rsidP="007C586D">
      <w:pPr>
        <w:pStyle w:val="ListParagraph"/>
        <w:rPr>
          <w:rFonts w:ascii="Times New Roman" w:hAnsi="Times New Roman"/>
          <w:i/>
          <w:sz w:val="20"/>
          <w:szCs w:val="20"/>
        </w:rPr>
      </w:pPr>
    </w:p>
    <w:p w14:paraId="471F2F03" w14:textId="2829858C" w:rsidR="004C3FD9" w:rsidRDefault="007C586D" w:rsidP="008659F2">
      <w:pPr>
        <w:widowControl w:val="0"/>
        <w:jc w:val="both"/>
      </w:pPr>
      <w:r>
        <w:t>In this contribution, we discuss</w:t>
      </w:r>
      <w:r w:rsidR="00704423">
        <w:t xml:space="preserve"> </w:t>
      </w:r>
      <w:r w:rsidR="001C71E8">
        <w:t>some aspects in RACH</w:t>
      </w:r>
      <w:r w:rsidR="000A4B7B">
        <w:t xml:space="preserve"> </w:t>
      </w:r>
      <w:r w:rsidR="00704423">
        <w:t xml:space="preserve">and UL timing </w:t>
      </w:r>
      <w:r w:rsidR="007F53A5">
        <w:t xml:space="preserve">and frequency </w:t>
      </w:r>
      <w:r w:rsidR="00704423">
        <w:t>control for NTN</w:t>
      </w:r>
    </w:p>
    <w:p w14:paraId="60F5A8E1" w14:textId="7BA2C24C" w:rsidR="00974AB0" w:rsidRDefault="001C71E8" w:rsidP="00601DDB">
      <w:pPr>
        <w:pStyle w:val="Heading1"/>
        <w:pBdr>
          <w:top w:val="single" w:sz="12" w:space="31" w:color="auto"/>
        </w:pBdr>
        <w:jc w:val="both"/>
      </w:pPr>
      <w:bookmarkStart w:id="2" w:name="_Ref473802466"/>
      <w:bookmarkStart w:id="3" w:name="_Ref462669569"/>
      <w:r>
        <w:t xml:space="preserve">RACH </w:t>
      </w:r>
    </w:p>
    <w:p w14:paraId="2E04E9BA" w14:textId="220C2BC3" w:rsidR="005E0CB1" w:rsidRPr="00B93267" w:rsidRDefault="00B828DB" w:rsidP="0033192D">
      <w:pPr>
        <w:pStyle w:val="Heading2"/>
      </w:pPr>
      <w:r>
        <w:t xml:space="preserve">PRACH </w:t>
      </w:r>
      <w:r w:rsidR="00B93267">
        <w:t>format and beam footprint</w:t>
      </w:r>
    </w:p>
    <w:p w14:paraId="2D8E7E65" w14:textId="371D770D" w:rsidR="00D5483F" w:rsidRDefault="00B8460D" w:rsidP="00D5483F">
      <w:pPr>
        <w:tabs>
          <w:tab w:val="left" w:pos="1752"/>
        </w:tabs>
        <w:rPr>
          <w:lang w:val="en-GB"/>
        </w:rPr>
      </w:pPr>
      <w:r>
        <w:rPr>
          <w:lang w:val="en-GB"/>
        </w:rPr>
        <w:t xml:space="preserve">PRACH format design is determined by two factors, the maximal latency </w:t>
      </w:r>
      <w:r w:rsidR="00452714">
        <w:rPr>
          <w:lang w:val="en-GB"/>
        </w:rPr>
        <w:t xml:space="preserve">difference </w:t>
      </w:r>
      <w:r>
        <w:rPr>
          <w:lang w:val="en-GB"/>
        </w:rPr>
        <w:t xml:space="preserve">and the maximal frequency offset. </w:t>
      </w:r>
      <w:r w:rsidR="00D5483F">
        <w:rPr>
          <w:lang w:val="en-GB"/>
        </w:rPr>
        <w:t xml:space="preserve">The round-trip delay (RTD) can be more than 500 </w:t>
      </w:r>
      <w:proofErr w:type="spellStart"/>
      <w:r w:rsidR="00D5483F">
        <w:rPr>
          <w:lang w:val="en-GB"/>
        </w:rPr>
        <w:t>ms</w:t>
      </w:r>
      <w:proofErr w:type="spellEnd"/>
      <w:r w:rsidR="00D5483F">
        <w:rPr>
          <w:lang w:val="en-GB"/>
        </w:rPr>
        <w:t xml:space="preserve"> and 30 </w:t>
      </w:r>
      <w:proofErr w:type="spellStart"/>
      <w:r w:rsidR="00D5483F">
        <w:rPr>
          <w:lang w:val="en-GB"/>
        </w:rPr>
        <w:t>ms</w:t>
      </w:r>
      <w:proofErr w:type="spellEnd"/>
      <w:r w:rsidR="00D5483F">
        <w:rPr>
          <w:lang w:val="en-GB"/>
        </w:rPr>
        <w:t xml:space="preserve"> for bent-pipe GEO and LEO at 1500 km altitude</w:t>
      </w:r>
      <w:r w:rsidR="005C6659">
        <w:rPr>
          <w:lang w:val="en-GB"/>
        </w:rPr>
        <w:t>, respectively</w:t>
      </w:r>
      <w:r w:rsidR="00D5483F">
        <w:rPr>
          <w:lang w:val="en-GB"/>
        </w:rPr>
        <w:t xml:space="preserve">. On the other hand, differential RTD is typically less than 4 </w:t>
      </w:r>
      <w:proofErr w:type="spellStart"/>
      <w:r w:rsidR="00D5483F">
        <w:rPr>
          <w:lang w:val="en-GB"/>
        </w:rPr>
        <w:t>ms</w:t>
      </w:r>
      <w:proofErr w:type="spellEnd"/>
      <w:r w:rsidR="00D5483F">
        <w:rPr>
          <w:lang w:val="en-GB"/>
        </w:rPr>
        <w:t xml:space="preserve"> for beam footprint diameter 500 km</w:t>
      </w:r>
      <w:r w:rsidR="005C6659">
        <w:rPr>
          <w:lang w:val="en-GB"/>
        </w:rPr>
        <w:t xml:space="preserve">. Likewise, the </w:t>
      </w:r>
      <w:r w:rsidR="00D5483F">
        <w:rPr>
          <w:lang w:val="en-GB"/>
        </w:rPr>
        <w:t xml:space="preserve">differential Doppler </w:t>
      </w:r>
      <w:r w:rsidR="005C6659">
        <w:rPr>
          <w:lang w:val="en-GB"/>
        </w:rPr>
        <w:t xml:space="preserve">shifts </w:t>
      </w:r>
      <w:r w:rsidR="00D5483F">
        <w:rPr>
          <w:lang w:val="en-GB"/>
        </w:rPr>
        <w:t>can be much smaller than the absolute Doppler shift</w:t>
      </w:r>
      <w:r w:rsidR="005C6659">
        <w:rPr>
          <w:lang w:val="en-GB"/>
        </w:rPr>
        <w:t>s</w:t>
      </w:r>
      <w:r w:rsidR="00D5483F">
        <w:rPr>
          <w:lang w:val="en-GB"/>
        </w:rPr>
        <w:t xml:space="preserve"> </w:t>
      </w:r>
      <w:r w:rsidR="005C6659">
        <w:rPr>
          <w:lang w:val="en-GB"/>
        </w:rPr>
        <w:t>within a satellite beam.</w:t>
      </w:r>
    </w:p>
    <w:p w14:paraId="0C5D8493" w14:textId="4483722B" w:rsidR="00D5483F" w:rsidRDefault="00D5483F" w:rsidP="00D5483F">
      <w:pPr>
        <w:tabs>
          <w:tab w:val="left" w:pos="1752"/>
        </w:tabs>
        <w:rPr>
          <w:lang w:val="en-GB"/>
        </w:rPr>
      </w:pPr>
      <w:r>
        <w:rPr>
          <w:lang w:val="en-GB"/>
        </w:rPr>
        <w:lastRenderedPageBreak/>
        <w:t>Hence it is necessary to consider only the differential RTD and Doppler</w:t>
      </w:r>
      <w:r w:rsidR="006F0198">
        <w:rPr>
          <w:lang w:val="en-GB"/>
        </w:rPr>
        <w:t>, which</w:t>
      </w:r>
      <w:r>
        <w:rPr>
          <w:lang w:val="en-GB"/>
        </w:rPr>
        <w:t xml:space="preserve"> can be achieved by broadcasting the RTD and Doppler seen at the </w:t>
      </w:r>
      <w:proofErr w:type="spellStart"/>
      <w:r>
        <w:rPr>
          <w:lang w:val="en-GB"/>
        </w:rPr>
        <w:t>center</w:t>
      </w:r>
      <w:proofErr w:type="spellEnd"/>
      <w:r>
        <w:rPr>
          <w:lang w:val="en-GB"/>
        </w:rPr>
        <w:t xml:space="preserve"> of the beam.</w:t>
      </w:r>
    </w:p>
    <w:p w14:paraId="1064CA59" w14:textId="7A6FCA18" w:rsidR="00D5483F" w:rsidRPr="00D5483F" w:rsidRDefault="00D5483F" w:rsidP="00D5483F">
      <w:pPr>
        <w:tabs>
          <w:tab w:val="left" w:pos="1752"/>
        </w:tabs>
        <w:rPr>
          <w:b/>
          <w:lang w:val="en-GB"/>
        </w:rPr>
      </w:pPr>
      <w:r w:rsidRPr="00BB75F5">
        <w:rPr>
          <w:b/>
          <w:lang w:val="en-GB"/>
        </w:rPr>
        <w:t>Proposal 1:</w:t>
      </w:r>
      <w:r w:rsidRPr="001F7056">
        <w:rPr>
          <w:b/>
          <w:lang w:val="en-GB"/>
        </w:rPr>
        <w:t xml:space="preserve"> </w:t>
      </w:r>
      <w:r w:rsidR="001F7056" w:rsidRPr="001F7056">
        <w:rPr>
          <w:b/>
          <w:lang w:val="en-GB"/>
        </w:rPr>
        <w:t>For NTN operations that don’t require UE’s knowledge of geolocation, support periodically broadcasting of the common round-trip delay and Doppler frequency of a beam.</w:t>
      </w:r>
    </w:p>
    <w:p w14:paraId="49BB18C6" w14:textId="77777777" w:rsidR="00D5483F" w:rsidRDefault="00D5483F" w:rsidP="00EB4DC3">
      <w:pPr>
        <w:rPr>
          <w:lang w:val="en-GB"/>
        </w:rPr>
      </w:pPr>
    </w:p>
    <w:p w14:paraId="2EED3C4B" w14:textId="18C49CAB" w:rsidR="00452714" w:rsidRDefault="00452714" w:rsidP="00EB4DC3">
      <w:pPr>
        <w:rPr>
          <w:lang w:val="en-GB"/>
        </w:rPr>
      </w:pPr>
      <w:r>
        <w:rPr>
          <w:lang w:val="en-GB"/>
        </w:rPr>
        <w:t>Table 1 below list the maximal differential round-trip delay (RTD) and the maximal differential Doppler among devices in a beam in several LEO and MEO deployment scenarios.</w:t>
      </w:r>
    </w:p>
    <w:p w14:paraId="7AA4AFAA" w14:textId="77777777" w:rsidR="00452714" w:rsidRDefault="00452714" w:rsidP="00EB4DC3">
      <w:pPr>
        <w:rPr>
          <w:lang w:val="en-GB"/>
        </w:rPr>
      </w:pPr>
    </w:p>
    <w:p w14:paraId="233FE432" w14:textId="61C4AC65" w:rsidR="00452714" w:rsidRDefault="00452714" w:rsidP="00452714">
      <w:pPr>
        <w:pStyle w:val="Caption"/>
        <w:keepNext/>
      </w:pPr>
      <w:r>
        <w:t xml:space="preserve">Table </w:t>
      </w:r>
      <w:r w:rsidR="00D66F09">
        <w:rPr>
          <w:noProof/>
        </w:rPr>
        <w:fldChar w:fldCharType="begin"/>
      </w:r>
      <w:r w:rsidR="00D66F09">
        <w:rPr>
          <w:noProof/>
        </w:rPr>
        <w:instrText xml:space="preserve"> SEQ Table \* ARABIC </w:instrText>
      </w:r>
      <w:r w:rsidR="00D66F09">
        <w:rPr>
          <w:noProof/>
        </w:rPr>
        <w:fldChar w:fldCharType="separate"/>
      </w:r>
      <w:r>
        <w:rPr>
          <w:noProof/>
        </w:rPr>
        <w:t>1</w:t>
      </w:r>
      <w:r w:rsidR="00D66F09">
        <w:rPr>
          <w:noProof/>
        </w:rPr>
        <w:fldChar w:fldCharType="end"/>
      </w:r>
      <w:r>
        <w:t xml:space="preserve">. Maximal differential RTD and Doppler: Beam X is </w:t>
      </w:r>
      <w:r w:rsidR="005C6659">
        <w:t>the</w:t>
      </w:r>
      <w:r w:rsidR="0065219A">
        <w:t xml:space="preserve"> nadir </w:t>
      </w:r>
      <w:r w:rsidR="005C6659">
        <w:t xml:space="preserve">beam </w:t>
      </w:r>
      <w:r w:rsidR="0065219A">
        <w:t>and beam Y has a minimal elevation angle of 10</w:t>
      </w:r>
      <w:r w:rsidR="0065219A" w:rsidRPr="0065219A">
        <w:rPr>
          <w:rFonts w:ascii="Times New Roman Bold" w:hAnsi="Times New Roman Bold"/>
          <w:vertAlign w:val="superscript"/>
        </w:rPr>
        <w:t>o</w:t>
      </w:r>
      <w:r w:rsidR="0065219A" w:rsidRPr="0065219A">
        <w:rPr>
          <w:rFonts w:ascii="Times New Roman Bold" w:hAnsi="Times New Roman Bold"/>
        </w:rPr>
        <w:t>.</w:t>
      </w:r>
    </w:p>
    <w:tbl>
      <w:tblPr>
        <w:tblW w:w="8780" w:type="dxa"/>
        <w:tblCellMar>
          <w:left w:w="0" w:type="dxa"/>
          <w:right w:w="0" w:type="dxa"/>
        </w:tblCellMar>
        <w:tblLook w:val="0600" w:firstRow="0" w:lastRow="0" w:firstColumn="0" w:lastColumn="0" w:noHBand="1" w:noVBand="1"/>
      </w:tblPr>
      <w:tblGrid>
        <w:gridCol w:w="980"/>
        <w:gridCol w:w="1560"/>
        <w:gridCol w:w="1820"/>
        <w:gridCol w:w="1300"/>
        <w:gridCol w:w="1560"/>
        <w:gridCol w:w="1560"/>
      </w:tblGrid>
      <w:tr w:rsidR="00452714" w:rsidRPr="00452714" w14:paraId="1BE45316" w14:textId="77777777" w:rsidTr="00452714">
        <w:trPr>
          <w:trHeight w:val="1403"/>
        </w:trPr>
        <w:tc>
          <w:tcPr>
            <w:tcW w:w="98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0FA2C1" w14:textId="77777777" w:rsidR="00452714" w:rsidRPr="00452714" w:rsidRDefault="00452714" w:rsidP="00452714">
            <w:pPr>
              <w:overflowPunct/>
              <w:autoSpaceDE/>
              <w:autoSpaceDN/>
              <w:adjustRightInd/>
              <w:spacing w:after="0"/>
              <w:textAlignment w:val="auto"/>
              <w:rPr>
                <w:rFonts w:eastAsia="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E38F2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SAT Altitude (km)</w:t>
            </w:r>
          </w:p>
        </w:tc>
        <w:tc>
          <w:tcPr>
            <w:tcW w:w="1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3F8424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 Footprint Diameter (km)</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13A0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Beam</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F18DA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Max RTD Spread (us)</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D5720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xml:space="preserve">Max Doppler Spread </w:t>
            </w:r>
          </w:p>
          <w:p w14:paraId="11844F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 kHz)</w:t>
            </w:r>
          </w:p>
        </w:tc>
      </w:tr>
      <w:tr w:rsidR="00452714" w:rsidRPr="00452714" w14:paraId="111170E5"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54395A"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LEO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28FA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25958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E6AF0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D5FFA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BD8E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r>
      <w:tr w:rsidR="00452714" w:rsidRPr="00452714" w14:paraId="7F9C8CE1"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24ACDF"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B08E33E"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02A182"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AC5D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851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B39D0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62.8</w:t>
            </w:r>
          </w:p>
        </w:tc>
      </w:tr>
      <w:tr w:rsidR="00452714" w:rsidRPr="00452714" w14:paraId="264FEACF"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D5846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4650FF"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9E02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DB8D5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C9E81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3232.9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6D8CD7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16.3</w:t>
            </w:r>
          </w:p>
        </w:tc>
      </w:tr>
      <w:tr w:rsidR="00452714" w:rsidRPr="00452714" w14:paraId="62F0980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EFDC17"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DB56D8"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9F52F1"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63DC3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7E878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363.6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21636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289.0</w:t>
            </w:r>
          </w:p>
        </w:tc>
      </w:tr>
      <w:tr w:rsidR="00452714" w:rsidRPr="00452714" w14:paraId="3768AC2C"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052460"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515CE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1500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66D91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273BC"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63ED83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655.7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F9F63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w:t>
            </w:r>
          </w:p>
        </w:tc>
      </w:tr>
      <w:tr w:rsidR="00452714" w:rsidRPr="00452714" w14:paraId="5C011D9B"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1F34B"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0FF5FE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0E409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CF97A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A86A3"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6.9</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0BFD4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23.7</w:t>
            </w:r>
          </w:p>
        </w:tc>
      </w:tr>
      <w:tr w:rsidR="00452714" w:rsidRPr="00452714" w14:paraId="4743BCF0"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D9AAC9"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79B4F1"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1F45D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C6023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5101E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3247.0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C1EA3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8.6</w:t>
            </w:r>
          </w:p>
        </w:tc>
      </w:tr>
      <w:tr w:rsidR="00452714" w:rsidRPr="00452714" w14:paraId="4602EF6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B4256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0C58B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4D62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875B8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9CEEB9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170.2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31A7E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116.7</w:t>
            </w:r>
          </w:p>
        </w:tc>
      </w:tr>
      <w:tr w:rsidR="00452714" w:rsidRPr="00452714" w14:paraId="03402484" w14:textId="77777777" w:rsidTr="00452714">
        <w:trPr>
          <w:trHeight w:val="393"/>
        </w:trPr>
        <w:tc>
          <w:tcPr>
            <w:tcW w:w="9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9A836BC" w14:textId="77777777" w:rsidR="00452714" w:rsidRPr="00452714" w:rsidRDefault="00452714" w:rsidP="00452714">
            <w:pPr>
              <w:overflowPunct/>
              <w:autoSpaceDE/>
              <w:autoSpaceDN/>
              <w:adjustRightInd/>
              <w:spacing w:after="0"/>
              <w:jc w:val="center"/>
              <w:textAlignment w:val="bottom"/>
              <w:rPr>
                <w:rFonts w:ascii="Arial" w:eastAsia="Times New Roman" w:hAnsi="Arial" w:cs="Arial"/>
                <w:sz w:val="36"/>
                <w:szCs w:val="36"/>
              </w:rPr>
            </w:pPr>
            <w:r w:rsidRPr="00452714">
              <w:rPr>
                <w:rFonts w:ascii="Microsoft Sans Serif" w:eastAsia="Times New Roman" w:hAnsi="Microsoft Sans Serif" w:cs="Microsoft Sans Serif"/>
                <w:b/>
                <w:bCs/>
                <w:color w:val="000000" w:themeColor="text1"/>
                <w:kern w:val="24"/>
                <w:sz w:val="32"/>
                <w:szCs w:val="32"/>
              </w:rPr>
              <w:t>MEO</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48D11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7000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8A56DE"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33519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CF2BD7"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D179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0.4</w:t>
            </w:r>
          </w:p>
        </w:tc>
      </w:tr>
      <w:tr w:rsidR="00452714" w:rsidRPr="00452714" w14:paraId="1DE0A35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58922"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2ACB81"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CDB86F"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29200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BDFA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50BFF2"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3.9</w:t>
            </w:r>
          </w:p>
        </w:tc>
      </w:tr>
      <w:tr w:rsidR="00452714" w:rsidRPr="00452714" w14:paraId="4FF51EDE"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E8421C"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3D1AC4"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38AEF0"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9C0FF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1C79D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3255.2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7A755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2.8</w:t>
            </w:r>
          </w:p>
        </w:tc>
      </w:tr>
      <w:tr w:rsidR="00452714" w:rsidRPr="00452714" w14:paraId="4F543170"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9ADF95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242B45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0DBA50"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B14B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B6E9C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62.5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32F7A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19.5</w:t>
            </w:r>
          </w:p>
        </w:tc>
      </w:tr>
      <w:tr w:rsidR="00452714" w:rsidRPr="00452714" w14:paraId="7E915EEF"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BF9791D"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CA84F29"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20000</w:t>
            </w: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F1BB06"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A0BAE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C302FED"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656.0</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AB6D6A"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0.1</w:t>
            </w:r>
          </w:p>
        </w:tc>
      </w:tr>
      <w:tr w:rsidR="00452714" w:rsidRPr="00452714" w14:paraId="1B55A0AE"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3F874"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8F36E9"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3A480A"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EA4E5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CD68D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1.7</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83B707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1.0</w:t>
            </w:r>
          </w:p>
        </w:tc>
      </w:tr>
      <w:tr w:rsidR="00452714" w:rsidRPr="00452714" w14:paraId="15EEA297" w14:textId="77777777" w:rsidTr="001141AA">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01EFFA"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602F93" w14:textId="77777777" w:rsidR="00452714" w:rsidRPr="00452714" w:rsidRDefault="00452714" w:rsidP="00452714">
            <w:pPr>
              <w:overflowPunct/>
              <w:autoSpaceDE/>
              <w:autoSpaceDN/>
              <w:adjustRightInd/>
              <w:spacing w:after="0"/>
              <w:textAlignment w:val="auto"/>
              <w:rPr>
                <w:rFonts w:eastAsia="Times New Roman"/>
              </w:rPr>
            </w:pPr>
          </w:p>
        </w:tc>
        <w:tc>
          <w:tcPr>
            <w:tcW w:w="1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DE78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500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77162F"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9AC624"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3257.3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B02E58"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0.9</w:t>
            </w:r>
          </w:p>
        </w:tc>
      </w:tr>
      <w:tr w:rsidR="00452714" w:rsidRPr="00452714" w14:paraId="124281F3" w14:textId="77777777" w:rsidTr="00452714">
        <w:trPr>
          <w:trHeight w:val="39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E02C4E" w14:textId="77777777" w:rsidR="00452714" w:rsidRPr="00452714" w:rsidRDefault="00452714" w:rsidP="00452714">
            <w:pPr>
              <w:overflowPunct/>
              <w:autoSpaceDE/>
              <w:autoSpaceDN/>
              <w:adjustRightInd/>
              <w:spacing w:after="0"/>
              <w:textAlignment w:val="auto"/>
              <w:rPr>
                <w:rFonts w:ascii="Arial" w:eastAsia="Times New Roman" w:hAnsi="Arial"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10A80A" w14:textId="77777777" w:rsidR="00452714" w:rsidRPr="00452714" w:rsidRDefault="00452714" w:rsidP="00452714">
            <w:pPr>
              <w:overflowPunct/>
              <w:autoSpaceDE/>
              <w:autoSpaceDN/>
              <w:adjustRightInd/>
              <w:spacing w:after="0"/>
              <w:textAlignment w:val="auto"/>
              <w:rPr>
                <w:rFonts w:eastAsia="Times New Roma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0B83A4" w14:textId="77777777" w:rsidR="00452714" w:rsidRPr="00452714" w:rsidRDefault="00452714" w:rsidP="00452714">
            <w:pPr>
              <w:overflowPunct/>
              <w:autoSpaceDE/>
              <w:autoSpaceDN/>
              <w:adjustRightInd/>
              <w:spacing w:after="0"/>
              <w:textAlignment w:val="auto"/>
              <w:rPr>
                <w:rFonts w:eastAsia="Times New Roman"/>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7C5F5BB"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b/>
                <w:bCs/>
                <w:color w:val="000000" w:themeColor="text1"/>
                <w:kern w:val="24"/>
              </w:rPr>
              <w:t>X</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70E7E5"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43.1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CF151" w14:textId="77777777" w:rsidR="00452714" w:rsidRPr="00452714" w:rsidRDefault="00452714" w:rsidP="00452714">
            <w:pPr>
              <w:overflowPunct/>
              <w:autoSpaceDE/>
              <w:autoSpaceDN/>
              <w:adjustRightInd/>
              <w:spacing w:after="0"/>
              <w:jc w:val="center"/>
              <w:textAlignment w:val="bottom"/>
              <w:rPr>
                <w:rFonts w:eastAsia="Times New Roman"/>
              </w:rPr>
            </w:pPr>
            <w:r w:rsidRPr="00452714">
              <w:rPr>
                <w:rFonts w:eastAsia="Times New Roman"/>
                <w:color w:val="000000" w:themeColor="text1"/>
                <w:kern w:val="24"/>
              </w:rPr>
              <w:t>4.9</w:t>
            </w:r>
          </w:p>
        </w:tc>
      </w:tr>
    </w:tbl>
    <w:p w14:paraId="3346C6BC" w14:textId="77777777" w:rsidR="00452714" w:rsidRDefault="00452714" w:rsidP="00EB4DC3">
      <w:pPr>
        <w:rPr>
          <w:lang w:val="en-GB"/>
        </w:rPr>
      </w:pPr>
    </w:p>
    <w:p w14:paraId="78F795E9" w14:textId="6EAA931E" w:rsidR="0065219A" w:rsidRDefault="00E01FAF" w:rsidP="00EB4DC3">
      <w:pPr>
        <w:rPr>
          <w:lang w:val="en-GB"/>
        </w:rPr>
      </w:pPr>
      <w:r>
        <w:rPr>
          <w:lang w:val="en-GB"/>
        </w:rPr>
        <w:t xml:space="preserve">From the above, the following </w:t>
      </w:r>
      <w:r w:rsidR="0065219A">
        <w:rPr>
          <w:lang w:val="en-GB"/>
        </w:rPr>
        <w:t xml:space="preserve">can be </w:t>
      </w:r>
      <w:r w:rsidR="00C44C16">
        <w:rPr>
          <w:lang w:val="en-GB"/>
        </w:rPr>
        <w:t>observed</w:t>
      </w:r>
      <w:r w:rsidR="0065219A">
        <w:rPr>
          <w:lang w:val="en-GB"/>
        </w:rPr>
        <w:t xml:space="preserve"> </w:t>
      </w:r>
    </w:p>
    <w:p w14:paraId="56D242C5" w14:textId="765D7EC2" w:rsidR="0065219A"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 xml:space="preserve">Nadir beams have the largest differential Doppler shifts and </w:t>
      </w:r>
      <w:r w:rsidR="00D45FEE">
        <w:rPr>
          <w:rFonts w:ascii="Times New Roman" w:hAnsi="Times New Roman"/>
          <w:sz w:val="20"/>
          <w:szCs w:val="20"/>
          <w:lang w:val="en-GB"/>
        </w:rPr>
        <w:t xml:space="preserve">the exact value </w:t>
      </w:r>
      <w:r w:rsidR="0065219A" w:rsidRPr="004B0FD1">
        <w:rPr>
          <w:rFonts w:ascii="Times New Roman" w:hAnsi="Times New Roman"/>
          <w:sz w:val="20"/>
          <w:szCs w:val="20"/>
          <w:lang w:val="en-GB"/>
        </w:rPr>
        <w:t>depends on the beam footprint and orbit altitude. The lower the orbit altitude and the larger the footprint of a nadir beam, the larger the differential Doppler</w:t>
      </w:r>
      <w:r w:rsidR="00E01FAF">
        <w:rPr>
          <w:rFonts w:ascii="Times New Roman" w:hAnsi="Times New Roman"/>
          <w:sz w:val="20"/>
          <w:szCs w:val="20"/>
          <w:lang w:val="en-GB"/>
        </w:rPr>
        <w:t>.</w:t>
      </w:r>
    </w:p>
    <w:p w14:paraId="0F6253D7" w14:textId="5116799B" w:rsidR="00D33F60" w:rsidRPr="004B0FD1" w:rsidRDefault="004019D2" w:rsidP="00D33F60">
      <w:pPr>
        <w:pStyle w:val="ListParagraph"/>
        <w:numPr>
          <w:ilvl w:val="0"/>
          <w:numId w:val="45"/>
        </w:numPr>
        <w:rPr>
          <w:rFonts w:ascii="Times New Roman" w:hAnsi="Times New Roman"/>
          <w:sz w:val="20"/>
          <w:szCs w:val="20"/>
          <w:lang w:val="en-GB"/>
        </w:rPr>
      </w:pPr>
      <w:r>
        <w:rPr>
          <w:rFonts w:ascii="Times New Roman" w:hAnsi="Times New Roman"/>
          <w:sz w:val="20"/>
          <w:szCs w:val="20"/>
          <w:lang w:val="en-GB"/>
        </w:rPr>
        <w:t>Beams with the smallest elevation angle have the l</w:t>
      </w:r>
      <w:r w:rsidR="00D45FEE">
        <w:rPr>
          <w:rFonts w:ascii="Times New Roman" w:hAnsi="Times New Roman"/>
          <w:sz w:val="20"/>
          <w:szCs w:val="20"/>
          <w:lang w:val="en-GB"/>
        </w:rPr>
        <w:t>argest</w:t>
      </w:r>
      <w:r w:rsidR="0065219A" w:rsidRPr="004B0FD1">
        <w:rPr>
          <w:rFonts w:ascii="Times New Roman" w:hAnsi="Times New Roman"/>
          <w:sz w:val="20"/>
          <w:szCs w:val="20"/>
          <w:lang w:val="en-GB"/>
        </w:rPr>
        <w:t xml:space="preserve"> differential RTD</w:t>
      </w:r>
      <w:r w:rsidR="00D45FEE">
        <w:rPr>
          <w:rFonts w:ascii="Times New Roman" w:hAnsi="Times New Roman"/>
          <w:sz w:val="20"/>
          <w:szCs w:val="20"/>
          <w:lang w:val="en-GB"/>
        </w:rPr>
        <w:t>s</w:t>
      </w:r>
      <w:r w:rsidR="00D33F60" w:rsidRPr="004B0FD1">
        <w:rPr>
          <w:rFonts w:ascii="Times New Roman" w:hAnsi="Times New Roman"/>
          <w:sz w:val="20"/>
          <w:szCs w:val="20"/>
          <w:lang w:val="en-GB"/>
        </w:rPr>
        <w:t>. The smaller the elevation angle and the larger the beam footprint, the larger the differential RTD.</w:t>
      </w:r>
    </w:p>
    <w:p w14:paraId="3C833ECE" w14:textId="77777777" w:rsidR="00D33F60" w:rsidRDefault="00D33F60" w:rsidP="00EB4DC3">
      <w:pPr>
        <w:rPr>
          <w:lang w:val="en-GB"/>
        </w:rPr>
      </w:pPr>
    </w:p>
    <w:p w14:paraId="4A0E94EF" w14:textId="78F9FDCC" w:rsidR="005B0E61" w:rsidRDefault="006A0781" w:rsidP="00EB4DC3">
      <w:pPr>
        <w:rPr>
          <w:lang w:val="en-GB"/>
        </w:rPr>
      </w:pPr>
      <w:r>
        <w:rPr>
          <w:lang w:val="en-GB"/>
        </w:rPr>
        <w:t>As can be seen f</w:t>
      </w:r>
      <w:r w:rsidR="005B0E61">
        <w:rPr>
          <w:lang w:val="en-GB"/>
        </w:rPr>
        <w:t xml:space="preserve">rom the above table, </w:t>
      </w:r>
      <w:r>
        <w:rPr>
          <w:lang w:val="en-GB"/>
        </w:rPr>
        <w:t xml:space="preserve">the </w:t>
      </w:r>
      <w:r w:rsidR="00F30765">
        <w:rPr>
          <w:lang w:val="en-GB"/>
        </w:rPr>
        <w:t xml:space="preserve">maximal </w:t>
      </w:r>
      <w:r w:rsidR="0068696A">
        <w:rPr>
          <w:lang w:val="en-GB"/>
        </w:rPr>
        <w:t>differential delay</w:t>
      </w:r>
      <w:r w:rsidR="00F30765">
        <w:rPr>
          <w:lang w:val="en-GB"/>
        </w:rPr>
        <w:t xml:space="preserve"> and </w:t>
      </w:r>
      <w:r w:rsidR="004E4B36">
        <w:rPr>
          <w:lang w:val="en-GB"/>
        </w:rPr>
        <w:t>D</w:t>
      </w:r>
      <w:r w:rsidR="00F30765">
        <w:rPr>
          <w:lang w:val="en-GB"/>
        </w:rPr>
        <w:t xml:space="preserve">oppler can be </w:t>
      </w:r>
      <w:r w:rsidR="00E41CFF">
        <w:rPr>
          <w:lang w:val="en-GB"/>
        </w:rPr>
        <w:t>beyond</w:t>
      </w:r>
      <w:r w:rsidR="00C513B0">
        <w:rPr>
          <w:lang w:val="en-GB"/>
        </w:rPr>
        <w:t xml:space="preserve"> </w:t>
      </w:r>
      <w:r w:rsidR="004F5B14">
        <w:rPr>
          <w:lang w:val="en-GB"/>
        </w:rPr>
        <w:t xml:space="preserve">the </w:t>
      </w:r>
      <w:r w:rsidR="00AD1EFE">
        <w:rPr>
          <w:lang w:val="en-GB"/>
        </w:rPr>
        <w:t xml:space="preserve">detection </w:t>
      </w:r>
      <w:r w:rsidR="00C83E22">
        <w:rPr>
          <w:lang w:val="en-GB"/>
        </w:rPr>
        <w:t>limit</w:t>
      </w:r>
      <w:r w:rsidR="00E41CFF">
        <w:rPr>
          <w:lang w:val="en-GB"/>
        </w:rPr>
        <w:t xml:space="preserve"> supported</w:t>
      </w:r>
      <w:r w:rsidR="00AD1EFE">
        <w:rPr>
          <w:lang w:val="en-GB"/>
        </w:rPr>
        <w:t xml:space="preserve"> </w:t>
      </w:r>
      <w:r w:rsidR="004F5B14">
        <w:rPr>
          <w:lang w:val="en-GB"/>
        </w:rPr>
        <w:t>by</w:t>
      </w:r>
      <w:r w:rsidR="00AD1EFE">
        <w:rPr>
          <w:lang w:val="en-GB"/>
        </w:rPr>
        <w:t xml:space="preserve"> current NR PRACH formats. </w:t>
      </w:r>
      <w:r w:rsidR="00545DAE">
        <w:rPr>
          <w:lang w:val="en-GB"/>
        </w:rPr>
        <w:t>In fact</w:t>
      </w:r>
      <w:r w:rsidR="00AD1EFE">
        <w:rPr>
          <w:lang w:val="en-GB"/>
        </w:rPr>
        <w:t xml:space="preserve">, the supportable beam </w:t>
      </w:r>
      <w:r w:rsidR="0006659D">
        <w:rPr>
          <w:lang w:val="en-GB"/>
        </w:rPr>
        <w:t>diameter</w:t>
      </w:r>
      <w:r w:rsidR="00AD1EFE">
        <w:rPr>
          <w:lang w:val="en-GB"/>
        </w:rPr>
        <w:t xml:space="preserve"> using NR PRACH format </w:t>
      </w:r>
      <w:r w:rsidR="00723498">
        <w:rPr>
          <w:lang w:val="en-GB"/>
        </w:rPr>
        <w:t xml:space="preserve">can be </w:t>
      </w:r>
      <w:r w:rsidR="0006659D">
        <w:rPr>
          <w:lang w:val="en-GB"/>
        </w:rPr>
        <w:t xml:space="preserve">smaller than 20 km </w:t>
      </w:r>
      <w:r w:rsidR="00FF3CD1">
        <w:rPr>
          <w:lang w:val="en-GB"/>
        </w:rPr>
        <w:t>for LEO satellites</w:t>
      </w:r>
      <w:r w:rsidR="00545DAE">
        <w:rPr>
          <w:lang w:val="en-GB"/>
        </w:rPr>
        <w:t>, as detailed below</w:t>
      </w:r>
      <w:r w:rsidR="00FF3CD1">
        <w:rPr>
          <w:lang w:val="en-GB"/>
        </w:rPr>
        <w:t xml:space="preserve">. </w:t>
      </w:r>
      <w:r w:rsidR="00F30765">
        <w:rPr>
          <w:lang w:val="en-GB"/>
        </w:rPr>
        <w:t xml:space="preserve"> </w:t>
      </w:r>
      <w:r w:rsidR="00542E5F">
        <w:rPr>
          <w:lang w:val="en-GB"/>
        </w:rPr>
        <w:t>Hence</w:t>
      </w:r>
      <w:r w:rsidR="00545DAE">
        <w:rPr>
          <w:lang w:val="en-GB"/>
        </w:rPr>
        <w:t xml:space="preserve"> </w:t>
      </w:r>
      <w:r w:rsidR="00542E5F">
        <w:rPr>
          <w:lang w:val="en-GB"/>
        </w:rPr>
        <w:t>new PRACH design</w:t>
      </w:r>
      <w:r w:rsidR="0012523C">
        <w:rPr>
          <w:lang w:val="en-GB"/>
        </w:rPr>
        <w:t xml:space="preserve"> is needed.</w:t>
      </w:r>
    </w:p>
    <w:p w14:paraId="3CC0E7A4" w14:textId="5B2A111E" w:rsidR="00516F96" w:rsidRDefault="00624210" w:rsidP="00EB4DC3">
      <w:pPr>
        <w:rPr>
          <w:lang w:val="en-GB"/>
        </w:rPr>
      </w:pPr>
      <w:r>
        <w:rPr>
          <w:lang w:val="en-GB"/>
        </w:rPr>
        <w:t xml:space="preserve">With </w:t>
      </w:r>
      <w:r w:rsidR="005A4867">
        <w:rPr>
          <w:lang w:val="en-GB"/>
        </w:rPr>
        <w:t>one ZC sequence</w:t>
      </w:r>
      <w:r w:rsidR="00634DC1">
        <w:rPr>
          <w:lang w:val="en-GB"/>
        </w:rPr>
        <w:t xml:space="preserve">, </w:t>
      </w:r>
      <w:r w:rsidR="00506A28">
        <w:rPr>
          <w:lang w:val="en-GB"/>
        </w:rPr>
        <w:t xml:space="preserve">the </w:t>
      </w:r>
      <w:r w:rsidR="00DF1FA6">
        <w:rPr>
          <w:lang w:val="en-GB"/>
        </w:rPr>
        <w:t xml:space="preserve">detection </w:t>
      </w:r>
      <w:r w:rsidR="00CA5409">
        <w:rPr>
          <w:lang w:val="en-GB"/>
        </w:rPr>
        <w:t>limit</w:t>
      </w:r>
      <w:r w:rsidR="00516F96">
        <w:rPr>
          <w:lang w:val="en-GB"/>
        </w:rPr>
        <w:t xml:space="preserve"> of delay and </w:t>
      </w:r>
      <w:r w:rsidR="00DF1FA6">
        <w:rPr>
          <w:lang w:val="en-GB"/>
        </w:rPr>
        <w:t>D</w:t>
      </w:r>
      <w:r w:rsidR="00516F96">
        <w:rPr>
          <w:lang w:val="en-GB"/>
        </w:rPr>
        <w:t>oppler must satisfy the following</w:t>
      </w:r>
      <w:r w:rsidR="00AD7807">
        <w:rPr>
          <w:lang w:val="en-GB"/>
        </w:rPr>
        <w:t>:</w:t>
      </w:r>
      <w:r w:rsidR="00516F96">
        <w:rPr>
          <w:lang w:val="en-GB"/>
        </w:rPr>
        <w:t xml:space="preserve"> </w:t>
      </w:r>
    </w:p>
    <w:p w14:paraId="5F4952D0" w14:textId="77777777" w:rsidR="00AD7807" w:rsidRDefault="00AD7807" w:rsidP="0033192D">
      <w:pPr>
        <w:jc w:val="center"/>
        <w:rPr>
          <w:lang w:val="en-GB"/>
        </w:rPr>
      </w:pPr>
      <w:r>
        <w:rPr>
          <w:lang w:val="en-GB"/>
        </w:rPr>
        <w:t>Delay x Doppler &lt;1/2</w:t>
      </w:r>
    </w:p>
    <w:p w14:paraId="07042D20" w14:textId="4140CC47" w:rsidR="00DD003E" w:rsidRPr="00FB3BB7" w:rsidRDefault="008258E8" w:rsidP="00EB4DC3">
      <w:pPr>
        <w:rPr>
          <w:b/>
          <w:lang w:val="en-GB"/>
        </w:rPr>
      </w:pPr>
      <w:bookmarkStart w:id="4" w:name="_Hlk21089768"/>
      <w:r w:rsidRPr="00FB3BB7">
        <w:rPr>
          <w:b/>
          <w:lang w:val="en-GB"/>
        </w:rPr>
        <w:t>Observation</w:t>
      </w:r>
      <w:r w:rsidR="00BE3DBF" w:rsidRPr="00FB3BB7">
        <w:rPr>
          <w:b/>
          <w:lang w:val="en-GB"/>
        </w:rPr>
        <w:t xml:space="preserve"> 1</w:t>
      </w:r>
      <w:r w:rsidR="00DD003E" w:rsidRPr="00FB3BB7">
        <w:rPr>
          <w:b/>
          <w:lang w:val="en-GB"/>
        </w:rPr>
        <w:t>: New PRACH design is needed when</w:t>
      </w:r>
      <w:r w:rsidR="00CC7146" w:rsidRPr="00FB3BB7">
        <w:rPr>
          <w:b/>
          <w:lang w:val="en-GB"/>
        </w:rPr>
        <w:t xml:space="preserve"> the product of maximal delay and </w:t>
      </w:r>
      <w:r w:rsidR="00BE3DBF" w:rsidRPr="00FB3BB7">
        <w:rPr>
          <w:b/>
          <w:lang w:val="en-GB"/>
        </w:rPr>
        <w:t>maximal frequency offset is greater than 0.5.</w:t>
      </w:r>
    </w:p>
    <w:bookmarkEnd w:id="4"/>
    <w:p w14:paraId="165363A3" w14:textId="77777777" w:rsidR="00BE3DBF" w:rsidRDefault="00BE3DBF" w:rsidP="00EB4DC3">
      <w:pPr>
        <w:rPr>
          <w:lang w:val="en-GB"/>
        </w:rPr>
      </w:pPr>
    </w:p>
    <w:p w14:paraId="2EDF3FC6" w14:textId="381B3670" w:rsidR="00365164" w:rsidRDefault="00D12826" w:rsidP="00EB4DC3">
      <w:pPr>
        <w:rPr>
          <w:lang w:val="en-GB"/>
        </w:rPr>
      </w:pPr>
      <w:r>
        <w:rPr>
          <w:lang w:val="en-GB"/>
        </w:rPr>
        <w:t xml:space="preserve">This </w:t>
      </w:r>
      <w:r w:rsidR="0088486F">
        <w:rPr>
          <w:lang w:val="en-GB"/>
        </w:rPr>
        <w:t xml:space="preserve">fundamental limit can be </w:t>
      </w:r>
      <w:r w:rsidR="00644BF1">
        <w:rPr>
          <w:lang w:val="en-GB"/>
        </w:rPr>
        <w:t>avoided</w:t>
      </w:r>
      <w:r w:rsidR="0088486F">
        <w:rPr>
          <w:lang w:val="en-GB"/>
        </w:rPr>
        <w:t xml:space="preserve"> by </w:t>
      </w:r>
      <w:r w:rsidR="006E783D">
        <w:rPr>
          <w:lang w:val="en-GB"/>
        </w:rPr>
        <w:t xml:space="preserve">transmitting </w:t>
      </w:r>
      <w:r w:rsidR="00005AEF">
        <w:rPr>
          <w:lang w:val="en-GB"/>
        </w:rPr>
        <w:t xml:space="preserve">a preamble </w:t>
      </w:r>
      <w:r w:rsidR="00845FF5">
        <w:rPr>
          <w:lang w:val="en-GB"/>
        </w:rPr>
        <w:t xml:space="preserve">consisting of two </w:t>
      </w:r>
      <w:proofErr w:type="spellStart"/>
      <w:r w:rsidR="00005AEF">
        <w:rPr>
          <w:lang w:val="en-GB"/>
        </w:rPr>
        <w:t>Zadoff</w:t>
      </w:r>
      <w:proofErr w:type="spellEnd"/>
      <w:r w:rsidR="00DC2583">
        <w:rPr>
          <w:lang w:val="en-GB"/>
        </w:rPr>
        <w:t>-</w:t>
      </w:r>
      <w:r w:rsidR="00005AEF">
        <w:rPr>
          <w:lang w:val="en-GB"/>
        </w:rPr>
        <w:t>Chu</w:t>
      </w:r>
      <w:r w:rsidR="00CF40CF">
        <w:rPr>
          <w:lang w:val="en-GB"/>
        </w:rPr>
        <w:t xml:space="preserve"> </w:t>
      </w:r>
      <w:r w:rsidR="00951D5F">
        <w:rPr>
          <w:lang w:val="en-GB"/>
        </w:rPr>
        <w:t xml:space="preserve">(ZC) </w:t>
      </w:r>
      <w:r w:rsidR="00845FF5">
        <w:rPr>
          <w:lang w:val="en-GB"/>
        </w:rPr>
        <w:t>sequences with</w:t>
      </w:r>
      <w:r w:rsidR="009E4B78">
        <w:rPr>
          <w:lang w:val="en-GB"/>
        </w:rPr>
        <w:t xml:space="preserve"> different roots</w:t>
      </w:r>
      <w:r w:rsidR="00CA5847">
        <w:rPr>
          <w:lang w:val="en-GB"/>
        </w:rPr>
        <w:t>, as shown below</w:t>
      </w:r>
    </w:p>
    <w:p w14:paraId="100D4993" w14:textId="473FD2EF" w:rsidR="00D77704" w:rsidRDefault="005D2FDF" w:rsidP="0033192D">
      <w:pPr>
        <w:keepNext/>
        <w:jc w:val="center"/>
      </w:pPr>
      <w:r>
        <w:object w:dxaOrig="4764" w:dyaOrig="444" w14:anchorId="39107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22.5pt" o:ole="">
            <v:imagedata r:id="rId11" o:title=""/>
          </v:shape>
          <o:OLEObject Type="Embed" ProgID="Visio.Drawing.11" ShapeID="_x0000_i1025" DrawAspect="Content" ObjectID="_1631704415" r:id="rId12"/>
        </w:object>
      </w:r>
    </w:p>
    <w:p w14:paraId="1D023E19" w14:textId="4CEE06CB" w:rsidR="00D77704" w:rsidRDefault="00D77704" w:rsidP="0033192D">
      <w:pPr>
        <w:pStyle w:val="Caption"/>
        <w:jc w:val="center"/>
      </w:pPr>
      <w:r>
        <w:t xml:space="preserve">Figure </w:t>
      </w:r>
      <w:r w:rsidR="0079750F">
        <w:fldChar w:fldCharType="begin"/>
      </w:r>
      <w:r w:rsidR="0079750F">
        <w:instrText xml:space="preserve"> SEQ Figure \* ARABIC </w:instrText>
      </w:r>
      <w:r w:rsidR="0079750F">
        <w:fldChar w:fldCharType="separate"/>
      </w:r>
      <w:r>
        <w:rPr>
          <w:noProof/>
        </w:rPr>
        <w:t>1</w:t>
      </w:r>
      <w:r w:rsidR="0079750F">
        <w:rPr>
          <w:noProof/>
        </w:rPr>
        <w:fldChar w:fldCharType="end"/>
      </w:r>
      <w:r>
        <w:t xml:space="preserve"> PRACH sequence with two roots.</w:t>
      </w:r>
    </w:p>
    <w:p w14:paraId="6287711C" w14:textId="74EB56D6" w:rsidR="00BD2F35" w:rsidRDefault="00BD2F35" w:rsidP="00BD2F35"/>
    <w:p w14:paraId="1262D69C" w14:textId="6A5B00D5" w:rsidR="00365BB0" w:rsidRDefault="000E4790" w:rsidP="00BD2F35">
      <w:r>
        <w:t xml:space="preserve">In the above, the two sequences </w:t>
      </w:r>
      <w:r w:rsidR="00365BB0">
        <w:t xml:space="preserve">can </w:t>
      </w:r>
      <w:r>
        <w:t xml:space="preserve">be transmitted </w:t>
      </w:r>
      <w:r w:rsidR="00365BB0">
        <w:t xml:space="preserve">with </w:t>
      </w:r>
      <w:r w:rsidR="00775A14">
        <w:t xml:space="preserve">or without </w:t>
      </w:r>
      <w:r w:rsidR="00365BB0">
        <w:t xml:space="preserve">some time gap in between. </w:t>
      </w:r>
      <w:r w:rsidR="00A5603D">
        <w:t xml:space="preserve">In addition, the two sequences </w:t>
      </w:r>
      <w:r w:rsidR="00463DE9">
        <w:t xml:space="preserve">can be transmitted simultaneously in the same </w:t>
      </w:r>
      <w:r w:rsidR="006B5A70">
        <w:t xml:space="preserve">or different </w:t>
      </w:r>
      <w:r w:rsidR="00463DE9">
        <w:t xml:space="preserve">frequency </w:t>
      </w:r>
      <w:r w:rsidR="006B5A70">
        <w:t xml:space="preserve">regions.  </w:t>
      </w:r>
    </w:p>
    <w:p w14:paraId="38796C7A" w14:textId="3F5EB906" w:rsidR="00E41321" w:rsidRDefault="00BD2F35" w:rsidP="00BD2F35">
      <w:r>
        <w:t xml:space="preserve">Suppose the peaks detected are </w:t>
      </w:r>
      <w:r w:rsidR="00436C28">
        <w:t>at lag</w:t>
      </w:r>
      <w:r w:rsidR="00EF47FC">
        <w:t>s</w:t>
      </w:r>
      <w:r w:rsidR="00436C28">
        <w:t xml:space="preserve"> </w:t>
      </w:r>
      <w:r w:rsidR="00EF47FC">
        <w:rPr>
          <w:i/>
        </w:rPr>
        <w:t>p</w:t>
      </w:r>
      <w:r w:rsidR="00436C28" w:rsidRPr="0033192D">
        <w:rPr>
          <w:i/>
          <w:vertAlign w:val="subscript"/>
        </w:rPr>
        <w:t>1</w:t>
      </w:r>
      <w:r w:rsidR="00436C28">
        <w:t xml:space="preserve"> and </w:t>
      </w:r>
      <w:r w:rsidR="00EF47FC">
        <w:rPr>
          <w:i/>
        </w:rPr>
        <w:t>p</w:t>
      </w:r>
      <w:r w:rsidR="00436C28" w:rsidRPr="0033192D">
        <w:rPr>
          <w:i/>
          <w:vertAlign w:val="subscript"/>
        </w:rPr>
        <w:t>2</w:t>
      </w:r>
      <w:r w:rsidR="00A267F7">
        <w:t xml:space="preserve"> for roots</w:t>
      </w:r>
      <w:r w:rsidR="002D353E">
        <w:t xml:space="preserve"> </w:t>
      </w:r>
      <w:r w:rsidR="002D353E" w:rsidRPr="007D0390">
        <w:rPr>
          <w:rFonts w:ascii="Symbol" w:hAnsi="Symbol"/>
        </w:rPr>
        <w:t></w:t>
      </w:r>
      <w:r w:rsidR="002D353E" w:rsidRPr="007D0390">
        <w:rPr>
          <w:vertAlign w:val="subscript"/>
        </w:rPr>
        <w:t>1</w:t>
      </w:r>
      <w:r w:rsidR="002D353E">
        <w:t xml:space="preserve"> and </w:t>
      </w:r>
      <w:r w:rsidR="002D353E" w:rsidRPr="007D0390">
        <w:rPr>
          <w:rFonts w:ascii="Symbol" w:hAnsi="Symbol"/>
        </w:rPr>
        <w:t></w:t>
      </w:r>
      <w:r w:rsidR="002D353E" w:rsidRPr="007D0390">
        <w:rPr>
          <w:vertAlign w:val="subscript"/>
        </w:rPr>
        <w:t>2</w:t>
      </w:r>
      <w:r w:rsidR="002D353E">
        <w:t xml:space="preserve">, </w:t>
      </w:r>
      <w:r w:rsidR="00436C28">
        <w:t>respectively</w:t>
      </w:r>
      <w:r w:rsidR="008D7066">
        <w:t>, we have the following equation</w:t>
      </w:r>
    </w:p>
    <w:p w14:paraId="36C1FAFE" w14:textId="514778AB" w:rsidR="008D7066" w:rsidRDefault="006F66E8" w:rsidP="0033192D">
      <w:pPr>
        <w:jc w:val="center"/>
      </w:pPr>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1</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 xml:space="preserve">1       </m:t>
                      </m:r>
                    </m:sub>
                  </m:sSub>
                  <m:r>
                    <w:rPr>
                      <w:rFonts w:ascii="Cambria Math" w:hAnsi="Cambria Math"/>
                    </w:rPr>
                    <m:t>(Mod L)</m:t>
                  </m:r>
                </m:e>
                <m:e>
                  <m:r>
                    <w:rPr>
                      <w:rFonts w:ascii="Cambria Math" w:hAnsi="Cambria Math"/>
                    </w:rPr>
                    <m:t>d+f</m:t>
                  </m:r>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 xml:space="preserve">     (Mod L)</m:t>
                  </m:r>
                </m:e>
              </m:eqArr>
            </m:e>
          </m:d>
        </m:oMath>
      </m:oMathPara>
    </w:p>
    <w:p w14:paraId="366684C5" w14:textId="77777777" w:rsidR="001A0AF1" w:rsidRDefault="00E41321" w:rsidP="00BD2F35">
      <w:r>
        <w:t xml:space="preserve">where </w:t>
      </w:r>
    </w:p>
    <w:p w14:paraId="71A4A3C5" w14:textId="17476C2C" w:rsidR="001A0AF1" w:rsidRPr="00B23DEA" w:rsidRDefault="00932438"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L is the sequence length, d</w:t>
      </w:r>
      <w:r w:rsidR="007160CF" w:rsidRPr="00B23DEA">
        <w:rPr>
          <w:rFonts w:ascii="Times New Roman" w:hAnsi="Times New Roman"/>
          <w:sz w:val="20"/>
          <w:szCs w:val="20"/>
        </w:rPr>
        <w:t>/(L*SCS) is the delay</w:t>
      </w:r>
      <w:r w:rsidR="00102E13" w:rsidRPr="00B23DEA">
        <w:rPr>
          <w:rFonts w:ascii="Times New Roman" w:hAnsi="Times New Roman"/>
          <w:sz w:val="20"/>
          <w:szCs w:val="20"/>
        </w:rPr>
        <w:t>,</w:t>
      </w:r>
    </w:p>
    <w:p w14:paraId="06528286" w14:textId="0CAA9430" w:rsidR="00102E13" w:rsidRPr="00B23DEA" w:rsidRDefault="00BE2AD1"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00816B97" w:rsidRPr="00B23DEA">
        <w:rPr>
          <w:rFonts w:ascii="Times New Roman" w:hAnsi="Times New Roman"/>
          <w:sz w:val="20"/>
          <w:szCs w:val="20"/>
        </w:rPr>
        <w:t>f</w:t>
      </w:r>
      <w:r w:rsidR="00102E13" w:rsidRPr="00B23DEA">
        <w:rPr>
          <w:rFonts w:ascii="Times New Roman" w:hAnsi="Times New Roman"/>
          <w:sz w:val="20"/>
          <w:szCs w:val="20"/>
        </w:rPr>
        <w:t>=round(f</w:t>
      </w:r>
      <w:r w:rsidR="00F67F45" w:rsidRPr="00B23DEA">
        <w:rPr>
          <w:rFonts w:ascii="Times New Roman" w:hAnsi="Times New Roman"/>
          <w:sz w:val="20"/>
          <w:szCs w:val="20"/>
        </w:rPr>
        <w:t>’</w:t>
      </w:r>
      <w:r w:rsidR="00D346CC" w:rsidRPr="00B23DEA">
        <w:rPr>
          <w:rFonts w:ascii="Times New Roman" w:hAnsi="Times New Roman"/>
          <w:sz w:val="20"/>
          <w:szCs w:val="20"/>
        </w:rPr>
        <w:t xml:space="preserve">) </w:t>
      </w:r>
      <w:r w:rsidR="00EB6A11" w:rsidRPr="00B23DEA">
        <w:rPr>
          <w:rFonts w:ascii="Times New Roman" w:hAnsi="Times New Roman"/>
          <w:sz w:val="20"/>
          <w:szCs w:val="20"/>
        </w:rPr>
        <w:t xml:space="preserve">with </w:t>
      </w:r>
      <w:r w:rsidR="00D346CC" w:rsidRPr="00B23DEA">
        <w:rPr>
          <w:rFonts w:ascii="Times New Roman" w:hAnsi="Times New Roman"/>
          <w:sz w:val="20"/>
          <w:szCs w:val="20"/>
        </w:rPr>
        <w:t>f</w:t>
      </w:r>
      <w:r w:rsidR="00F67F45" w:rsidRPr="00B23DEA">
        <w:rPr>
          <w:rFonts w:ascii="Times New Roman" w:hAnsi="Times New Roman"/>
          <w:sz w:val="20"/>
          <w:szCs w:val="20"/>
        </w:rPr>
        <w:t>’</w:t>
      </w:r>
      <w:r w:rsidR="007160CF" w:rsidRPr="00B23DEA">
        <w:rPr>
          <w:rFonts w:ascii="Times New Roman" w:hAnsi="Times New Roman"/>
          <w:sz w:val="20"/>
          <w:szCs w:val="20"/>
        </w:rPr>
        <w:t xml:space="preserve">*SCS </w:t>
      </w:r>
      <w:r w:rsidR="00EB6A11" w:rsidRPr="00B23DEA">
        <w:rPr>
          <w:rFonts w:ascii="Times New Roman" w:hAnsi="Times New Roman"/>
          <w:sz w:val="20"/>
          <w:szCs w:val="20"/>
        </w:rPr>
        <w:t>as</w:t>
      </w:r>
      <w:r w:rsidR="007160CF" w:rsidRPr="00B23DEA">
        <w:rPr>
          <w:rFonts w:ascii="Times New Roman" w:hAnsi="Times New Roman"/>
          <w:sz w:val="20"/>
          <w:szCs w:val="20"/>
        </w:rPr>
        <w:t xml:space="preserve"> the doppler frequency, </w:t>
      </w:r>
    </w:p>
    <w:p w14:paraId="3190342A" w14:textId="1EEEA2D4" w:rsidR="00102E13" w:rsidRPr="00B23DEA" w:rsidRDefault="007160CF" w:rsidP="00F67F45">
      <w:pPr>
        <w:pStyle w:val="ListParagraph"/>
        <w:numPr>
          <w:ilvl w:val="0"/>
          <w:numId w:val="55"/>
        </w:numPr>
        <w:rPr>
          <w:rFonts w:ascii="Times New Roman" w:hAnsi="Times New Roman"/>
          <w:sz w:val="20"/>
          <w:szCs w:val="20"/>
        </w:rPr>
      </w:pPr>
      <w:r w:rsidRPr="00B23DEA">
        <w:rPr>
          <w:rFonts w:ascii="Times New Roman" w:hAnsi="Times New Roman"/>
          <w:sz w:val="20"/>
          <w:szCs w:val="20"/>
        </w:rPr>
        <w:t>SCS is the</w:t>
      </w:r>
      <w:r w:rsidR="00F97BA5" w:rsidRPr="00B23DEA">
        <w:rPr>
          <w:rFonts w:ascii="Times New Roman" w:hAnsi="Times New Roman"/>
          <w:sz w:val="20"/>
          <w:szCs w:val="20"/>
        </w:rPr>
        <w:t xml:space="preserve"> </w:t>
      </w:r>
      <w:r w:rsidRPr="00B23DEA">
        <w:rPr>
          <w:rFonts w:ascii="Times New Roman" w:hAnsi="Times New Roman"/>
          <w:sz w:val="20"/>
          <w:szCs w:val="20"/>
        </w:rPr>
        <w:t>subcarrier spacing of the ZC sequence</w:t>
      </w:r>
      <w:r w:rsidR="00D35F31" w:rsidRPr="00B23DEA">
        <w:rPr>
          <w:rFonts w:ascii="Times New Roman" w:hAnsi="Times New Roman"/>
          <w:sz w:val="20"/>
          <w:szCs w:val="20"/>
        </w:rPr>
        <w:t>,</w:t>
      </w:r>
    </w:p>
    <w:p w14:paraId="70DE66C4" w14:textId="43E96A8B" w:rsidR="00102E13" w:rsidRPr="00B23DEA" w:rsidRDefault="00530ED0" w:rsidP="00102E13">
      <w:pPr>
        <w:pStyle w:val="ListParagraph"/>
        <w:numPr>
          <w:ilvl w:val="0"/>
          <w:numId w:val="55"/>
        </w:numPr>
        <w:rPr>
          <w:rFonts w:ascii="Times New Roman" w:hAnsi="Times New Roman"/>
          <w:sz w:val="20"/>
          <w:szCs w:val="20"/>
        </w:rPr>
      </w:pPr>
      <w:r w:rsidRPr="00B23DEA">
        <w:rPr>
          <w:rFonts w:ascii="Times New Roman" w:hAnsi="Times New Roman"/>
          <w:sz w:val="20"/>
          <w:szCs w:val="20"/>
        </w:rPr>
        <w:t xml:space="preserve"> </w:t>
      </w:r>
      <w:r w:rsidRPr="00B23DEA">
        <w:rPr>
          <w:rFonts w:ascii="Symbol" w:hAnsi="Symbol"/>
          <w:sz w:val="20"/>
          <w:szCs w:val="20"/>
        </w:rPr>
        <w:t></w:t>
      </w:r>
      <w:r w:rsidRPr="00B23DEA">
        <w:rPr>
          <w:rFonts w:ascii="Times New Roman" w:hAnsi="Times New Roman"/>
          <w:sz w:val="20"/>
          <w:szCs w:val="20"/>
          <w:vertAlign w:val="subscript"/>
        </w:rPr>
        <w:t>1</w:t>
      </w:r>
      <w:r w:rsidR="003912B3" w:rsidRPr="00B23DEA">
        <w:rPr>
          <w:rFonts w:ascii="Times New Roman" w:hAnsi="Times New Roman"/>
          <w:sz w:val="20"/>
          <w:szCs w:val="20"/>
          <w:vertAlign w:val="superscript"/>
        </w:rPr>
        <w:t>-1</w:t>
      </w:r>
      <w:r w:rsidR="003912B3" w:rsidRPr="00B23DEA">
        <w:rPr>
          <w:rFonts w:ascii="Times New Roman" w:hAnsi="Times New Roman"/>
          <w:sz w:val="20"/>
          <w:szCs w:val="20"/>
        </w:rPr>
        <w:t xml:space="preserve"> </w:t>
      </w:r>
      <w:r w:rsidR="00C40CEB" w:rsidRPr="00B23DEA">
        <w:rPr>
          <w:rFonts w:ascii="Times New Roman" w:hAnsi="Times New Roman"/>
          <w:sz w:val="20"/>
          <w:szCs w:val="20"/>
        </w:rPr>
        <w:t xml:space="preserve">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C40CEB" w:rsidRPr="00B23DEA">
        <w:rPr>
          <w:rFonts w:ascii="Times New Roman" w:hAnsi="Times New Roman"/>
          <w:sz w:val="20"/>
          <w:szCs w:val="20"/>
          <w:vertAlign w:val="superscript"/>
        </w:rPr>
        <w:t>-1</w:t>
      </w:r>
      <w:r w:rsidR="00C40CEB" w:rsidRPr="00B23DEA">
        <w:rPr>
          <w:rFonts w:ascii="Times New Roman" w:hAnsi="Times New Roman"/>
          <w:sz w:val="20"/>
          <w:szCs w:val="20"/>
        </w:rPr>
        <w:t xml:space="preserve"> are, respectively,</w:t>
      </w:r>
      <w:r w:rsidR="003912B3" w:rsidRPr="00B23DEA">
        <w:rPr>
          <w:rFonts w:ascii="Times New Roman" w:hAnsi="Times New Roman"/>
          <w:sz w:val="20"/>
          <w:szCs w:val="20"/>
        </w:rPr>
        <w:t xml:space="preserve"> the mod-L inverse of </w:t>
      </w:r>
      <w:r w:rsidR="00C40CEB" w:rsidRPr="00B23DEA">
        <w:rPr>
          <w:rFonts w:ascii="Symbol" w:hAnsi="Symbol"/>
          <w:sz w:val="20"/>
          <w:szCs w:val="20"/>
        </w:rPr>
        <w:t></w:t>
      </w:r>
      <w:r w:rsidR="00C40CEB" w:rsidRPr="00B23DEA">
        <w:rPr>
          <w:rFonts w:ascii="Times New Roman" w:hAnsi="Times New Roman"/>
          <w:sz w:val="20"/>
          <w:szCs w:val="20"/>
          <w:vertAlign w:val="subscript"/>
        </w:rPr>
        <w:t>1</w:t>
      </w:r>
      <w:r w:rsidR="00C40CEB" w:rsidRPr="00B23DEA">
        <w:rPr>
          <w:rFonts w:ascii="Times New Roman" w:hAnsi="Times New Roman"/>
          <w:sz w:val="20"/>
          <w:szCs w:val="20"/>
        </w:rPr>
        <w:t xml:space="preserve"> and </w:t>
      </w:r>
      <w:r w:rsidR="00C40CEB" w:rsidRPr="00B23DEA">
        <w:rPr>
          <w:rFonts w:ascii="Symbol" w:hAnsi="Symbol"/>
          <w:sz w:val="20"/>
          <w:szCs w:val="20"/>
        </w:rPr>
        <w:t></w:t>
      </w:r>
      <w:r w:rsidR="00C40CEB" w:rsidRPr="00B23DEA">
        <w:rPr>
          <w:rFonts w:ascii="Times New Roman" w:hAnsi="Times New Roman"/>
          <w:sz w:val="20"/>
          <w:szCs w:val="20"/>
          <w:vertAlign w:val="subscript"/>
        </w:rPr>
        <w:t>2</w:t>
      </w:r>
      <w:r w:rsidR="00F14D00" w:rsidRPr="00B23DEA">
        <w:rPr>
          <w:rFonts w:ascii="Times New Roman" w:hAnsi="Times New Roman"/>
          <w:sz w:val="20"/>
          <w:szCs w:val="20"/>
        </w:rPr>
        <w:t xml:space="preserve">. </w:t>
      </w:r>
    </w:p>
    <w:p w14:paraId="330EC2E5" w14:textId="77777777" w:rsidR="00F67F45" w:rsidRDefault="00F67F45" w:rsidP="00F67F45">
      <w:pPr>
        <w:pStyle w:val="ListParagraph"/>
      </w:pPr>
    </w:p>
    <w:p w14:paraId="3B186057" w14:textId="77777777" w:rsidR="006F6886" w:rsidRDefault="0034787D" w:rsidP="00BD2F35">
      <w:r>
        <w:t>Sol</w:t>
      </w:r>
      <w:r w:rsidR="00A839C6">
        <w:t>v</w:t>
      </w:r>
      <w:r>
        <w:t>ing the above equation</w:t>
      </w:r>
      <w:r w:rsidR="00A839C6">
        <w:t>s for delay</w:t>
      </w:r>
      <w:r w:rsidR="00A839C6" w:rsidRPr="00A839C6">
        <w:rPr>
          <w:i/>
        </w:rPr>
        <w:t xml:space="preserve"> d</w:t>
      </w:r>
      <w:r w:rsidR="00A839C6">
        <w:t xml:space="preserve"> and frequency offset </w:t>
      </w:r>
      <w:proofErr w:type="gramStart"/>
      <w:r w:rsidR="00A839C6" w:rsidRPr="00A839C6">
        <w:rPr>
          <w:i/>
        </w:rPr>
        <w:t xml:space="preserve">f </w:t>
      </w:r>
      <w:r w:rsidR="00A839C6">
        <w:t>,</w:t>
      </w:r>
      <w:proofErr w:type="gramEnd"/>
      <w:r w:rsidR="00A839C6">
        <w:t xml:space="preserve"> we have</w:t>
      </w:r>
    </w:p>
    <w:p w14:paraId="2A794102" w14:textId="42907655" w:rsidR="00A839C6" w:rsidRPr="00FA70F2" w:rsidRDefault="00FA70F2" w:rsidP="00BD2F35">
      <m:oMathPara>
        <m:oMath>
          <m:r>
            <w:rPr>
              <w:rFonts w:ascii="Cambria Math" w:hAnsi="Cambria Math"/>
            </w:rPr>
            <m:t>f=</m:t>
          </m:r>
          <m:sSup>
            <m:sSupPr>
              <m:ctrlPr>
                <w:rPr>
                  <w:rFonts w:ascii="Cambria Math" w:hAnsi="Cambria Math"/>
                  <w:i/>
                </w:rPr>
              </m:ctrlPr>
            </m:sSupPr>
            <m:e>
              <m:d>
                <m:dPr>
                  <m:ctrlPr>
                    <w:rPr>
                      <w:rFonts w:ascii="Cambria Math" w:hAnsi="Cambria Math"/>
                      <w:i/>
                    </w:rPr>
                  </m:ctrlPr>
                </m:dPr>
                <m:e>
                  <w:bookmarkStart w:id="5" w:name="_Hlk21086819"/>
                  <m:sSubSup>
                    <m:sSubSupPr>
                      <m:ctrlPr>
                        <w:rPr>
                          <w:rFonts w:ascii="Cambria Math" w:hAnsi="Cambria Math"/>
                          <w:i/>
                        </w:rPr>
                      </m:ctrlPr>
                    </m:sSubSupPr>
                    <m:e>
                      <m:r>
                        <w:rPr>
                          <w:rFonts w:ascii="Cambria Math" w:hAnsi="Cambria Math"/>
                        </w:rPr>
                        <m:t>μ</m:t>
                      </m:r>
                    </m:e>
                    <m:sub>
                      <m:r>
                        <w:rPr>
                          <w:rFonts w:ascii="Cambria Math" w:hAnsi="Cambria Math"/>
                        </w:rPr>
                        <m:t>1</m:t>
                      </m:r>
                    </m:sub>
                    <m:sup>
                      <m:r>
                        <w:rPr>
                          <w:rFonts w:ascii="Cambria Math" w:hAnsi="Cambria Math"/>
                        </w:rPr>
                        <m:t>-1</m:t>
                      </m:r>
                    </m:sup>
                  </m:sSubSup>
                  <w:bookmarkEnd w:id="5"/>
                  <m:r>
                    <w:rPr>
                      <w:rFonts w:ascii="Cambria Math" w:hAnsi="Cambria Math"/>
                    </w:rPr>
                    <m:t>-</m:t>
                  </m:r>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e>
              </m:d>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r>
            <w:rPr>
              <w:rFonts w:ascii="Cambria Math" w:hAnsi="Cambria Math"/>
            </w:rPr>
            <m:t xml:space="preserve">  </m:t>
          </m:r>
          <m:d>
            <m:dPr>
              <m:ctrlPr>
                <w:rPr>
                  <w:rFonts w:ascii="Cambria Math" w:hAnsi="Cambria Math"/>
                  <w:i/>
                </w:rPr>
              </m:ctrlPr>
            </m:dPr>
            <m:e>
              <m:r>
                <m:rPr>
                  <m:sty m:val="p"/>
                </m:rPr>
                <w:rPr>
                  <w:rFonts w:ascii="Cambria Math" w:hAnsi="Cambria Math"/>
                </w:rPr>
                <m:t>mod L</m:t>
              </m:r>
            </m:e>
          </m:d>
        </m:oMath>
      </m:oMathPara>
    </w:p>
    <w:p w14:paraId="1AAB1C00" w14:textId="0DB88ED0" w:rsidR="00FA70F2" w:rsidRPr="00FA70F2" w:rsidRDefault="00FA70F2" w:rsidP="00BD2F35">
      <w:r>
        <w:t xml:space="preserve">            </w:t>
      </w:r>
      <w:r w:rsidR="006F6886">
        <w:t xml:space="preserve">                                              </w:t>
      </w:r>
      <w:r>
        <w:t xml:space="preserve">         </w:t>
      </w:r>
      <m:oMath>
        <m:r>
          <w:rPr>
            <w:rFonts w:ascii="Cambria Math" w:hAnsi="Cambria Math"/>
          </w:rPr>
          <m:t>d=</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μ</m:t>
                    </m:r>
                  </m:e>
                  <m:sub>
                    <m:r>
                      <w:rPr>
                        <w:rFonts w:ascii="Cambria Math" w:hAnsi="Cambria Math"/>
                      </w:rPr>
                      <m:t>1</m:t>
                    </m:r>
                  </m:sub>
                </m:sSub>
                <m:sSubSup>
                  <m:sSubSupPr>
                    <m:ctrlPr>
                      <w:rPr>
                        <w:rFonts w:ascii="Cambria Math" w:hAnsi="Cambria Math"/>
                        <w:i/>
                      </w:rPr>
                    </m:ctrlPr>
                  </m:sSubSupPr>
                  <m:e>
                    <m:r>
                      <w:rPr>
                        <w:rFonts w:ascii="Cambria Math" w:hAnsi="Cambria Math"/>
                      </w:rPr>
                      <m:t>μ</m:t>
                    </m:r>
                  </m:e>
                  <m:sub>
                    <m:r>
                      <w:rPr>
                        <w:rFonts w:ascii="Cambria Math" w:hAnsi="Cambria Math"/>
                      </w:rPr>
                      <m:t>2</m:t>
                    </m:r>
                  </m:sub>
                  <m:sup>
                    <m:r>
                      <w:rPr>
                        <w:rFonts w:ascii="Cambria Math" w:hAnsi="Cambria Math"/>
                      </w:rPr>
                      <m:t>-1</m:t>
                    </m:r>
                  </m:sup>
                </m:sSubSup>
              </m:e>
            </m:d>
          </m:e>
          <m:sup>
            <m:r>
              <w:rPr>
                <w:rFonts w:ascii="Cambria Math" w:hAnsi="Cambria Math"/>
              </w:rPr>
              <m:t>-1</m:t>
            </m:r>
          </m:sup>
        </m:s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r>
          <w:rPr>
            <w:rFonts w:ascii="Cambria Math" w:hAnsi="Cambria Math"/>
          </w:rPr>
          <m:t xml:space="preserve">    (</m:t>
        </m:r>
        <m:r>
          <m:rPr>
            <m:sty m:val="p"/>
          </m:rPr>
          <w:rPr>
            <w:rFonts w:ascii="Cambria Math" w:hAnsi="Cambria Math"/>
          </w:rPr>
          <m:t>mod L</m:t>
        </m:r>
        <m:r>
          <w:rPr>
            <w:rFonts w:ascii="Cambria Math" w:hAnsi="Cambria Math"/>
          </w:rPr>
          <m:t>)</m:t>
        </m:r>
      </m:oMath>
    </w:p>
    <w:p w14:paraId="2B99904C" w14:textId="7B9B222C" w:rsidR="00FA70F2" w:rsidRDefault="000106D8" w:rsidP="00BD2F35">
      <w:r>
        <w:t>From the above</w:t>
      </w:r>
      <w:r w:rsidR="000F14C2">
        <w:t xml:space="preserve">, </w:t>
      </w:r>
      <w:r>
        <w:t xml:space="preserve">estimation accuracy depends on </w:t>
      </w:r>
      <w:proofErr w:type="spellStart"/>
      <w:r>
        <w:t>roots</w:t>
      </w:r>
      <w:proofErr w:type="spellEnd"/>
      <w:r>
        <w:t xml:space="preserve"> </w:t>
      </w:r>
      <w:r w:rsidRPr="007D0390">
        <w:rPr>
          <w:rFonts w:ascii="Symbol" w:hAnsi="Symbol"/>
        </w:rPr>
        <w:t></w:t>
      </w:r>
      <w:r w:rsidRPr="007D0390">
        <w:rPr>
          <w:vertAlign w:val="subscript"/>
        </w:rPr>
        <w:t>1</w:t>
      </w:r>
      <w:r>
        <w:t xml:space="preserve"> and </w:t>
      </w:r>
      <w:r w:rsidRPr="007D0390">
        <w:rPr>
          <w:rFonts w:ascii="Symbol" w:hAnsi="Symbol"/>
        </w:rPr>
        <w:t></w:t>
      </w:r>
      <w:r w:rsidRPr="007D0390">
        <w:rPr>
          <w:vertAlign w:val="subscript"/>
        </w:rPr>
        <w:t>2</w:t>
      </w:r>
      <w:r>
        <w:rPr>
          <w:vertAlign w:val="subscript"/>
        </w:rPr>
        <w:t xml:space="preserve">. </w:t>
      </w:r>
      <w:r w:rsidR="00016F4D" w:rsidRPr="00016F4D">
        <w:t>To minimize</w:t>
      </w:r>
      <w:r w:rsidR="00016F4D">
        <w:t xml:space="preserve"> the est</w:t>
      </w:r>
      <w:r w:rsidR="002643F6">
        <w:t>imation error due to errors in p</w:t>
      </w:r>
      <w:r w:rsidR="002643F6" w:rsidRPr="002643F6">
        <w:rPr>
          <w:vertAlign w:val="subscript"/>
        </w:rPr>
        <w:t>1</w:t>
      </w:r>
      <w:r w:rsidR="002643F6">
        <w:t xml:space="preserve"> and p</w:t>
      </w:r>
      <w:r w:rsidR="002643F6" w:rsidRPr="002643F6">
        <w:rPr>
          <w:vertAlign w:val="subscript"/>
        </w:rPr>
        <w:t>2</w:t>
      </w:r>
      <w:r w:rsidR="002643F6">
        <w:t>, the following rules should be followed when selecting the root pairs:</w:t>
      </w:r>
    </w:p>
    <w:p w14:paraId="097AE5D4" w14:textId="54E21C24" w:rsidR="002643F6" w:rsidRDefault="002F5D7F" w:rsidP="002F5D7F">
      <w:pPr>
        <w:pStyle w:val="ListParagraph"/>
        <w:numPr>
          <w:ilvl w:val="0"/>
          <w:numId w:val="57"/>
        </w:numPr>
      </w:pPr>
      <w:r>
        <w:t xml:space="preserve">Minimize </w:t>
      </w:r>
      <m:oMath>
        <m:sSup>
          <m:sSupPr>
            <m:ctrlPr>
              <w:rPr>
                <w:rFonts w:ascii="Cambria Math" w:eastAsia="SimSun" w:hAnsi="Cambria Math"/>
                <w:i/>
                <w:sz w:val="20"/>
                <w:szCs w:val="20"/>
              </w:rPr>
            </m:ctrlPr>
          </m:sSupPr>
          <m:e>
            <m:r>
              <w:rPr>
                <w:rFonts w:ascii="Cambria Math" w:hAnsi="Cambria Math"/>
              </w:rPr>
              <m:t>(</m:t>
            </m:r>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1</m:t>
                </m:r>
              </m:sub>
              <m:sup>
                <m:r>
                  <w:rPr>
                    <w:rFonts w:ascii="Cambria Math" w:hAnsi="Cambria Math"/>
                  </w:rPr>
                  <m:t>-1</m:t>
                </m:r>
              </m:sup>
            </m:sSubSup>
            <m:r>
              <w:rPr>
                <w:rFonts w:ascii="Cambria Math" w:hAnsi="Cambria Math"/>
              </w:rPr>
              <m:t>-</m:t>
            </m:r>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 xml:space="preserve"> (</m:t>
        </m:r>
        <m:r>
          <m:rPr>
            <m:sty m:val="p"/>
          </m:rPr>
          <w:rPr>
            <w:rFonts w:ascii="Cambria Math" w:hAnsi="Cambria Math"/>
          </w:rPr>
          <m:t>mod L</m:t>
        </m:r>
        <m:r>
          <w:rPr>
            <w:rFonts w:ascii="Cambria Math" w:hAnsi="Cambria Math"/>
          </w:rPr>
          <m:t>)</m:t>
        </m:r>
      </m:oMath>
    </w:p>
    <w:p w14:paraId="015E7377" w14:textId="2733CA89" w:rsidR="002F5D7F" w:rsidRPr="00FA70F2" w:rsidRDefault="002F5D7F" w:rsidP="002F5D7F">
      <w:pPr>
        <w:pStyle w:val="ListParagraph"/>
        <w:numPr>
          <w:ilvl w:val="0"/>
          <w:numId w:val="57"/>
        </w:numPr>
      </w:pPr>
      <w:r>
        <w:t xml:space="preserve">Minimize </w:t>
      </w:r>
      <m:oMath>
        <m:sSup>
          <m:sSupPr>
            <m:ctrlPr>
              <w:rPr>
                <w:rFonts w:ascii="Cambria Math" w:eastAsia="SimSun" w:hAnsi="Cambria Math"/>
                <w:i/>
                <w:sz w:val="20"/>
                <w:szCs w:val="20"/>
              </w:rPr>
            </m:ctrlPr>
          </m:sSupPr>
          <m:e>
            <m:r>
              <w:rPr>
                <w:rFonts w:ascii="Cambria Math" w:hAnsi="Cambria Math"/>
              </w:rPr>
              <m:t>(1-</m:t>
            </m:r>
            <m:sSub>
              <m:sSubPr>
                <m:ctrlPr>
                  <w:rPr>
                    <w:rFonts w:ascii="Cambria Math" w:eastAsia="SimSun" w:hAnsi="Cambria Math"/>
                    <w:i/>
                    <w:sz w:val="20"/>
                    <w:szCs w:val="20"/>
                  </w:rPr>
                </m:ctrlPr>
              </m:sSubPr>
              <m:e>
                <m:r>
                  <w:rPr>
                    <w:rFonts w:ascii="Cambria Math" w:hAnsi="Cambria Math"/>
                  </w:rPr>
                  <m:t>μ</m:t>
                </m:r>
              </m:e>
              <m:sub>
                <m:r>
                  <w:rPr>
                    <w:rFonts w:ascii="Cambria Math" w:hAnsi="Cambria Math"/>
                  </w:rPr>
                  <m:t>1</m:t>
                </m:r>
              </m:sub>
            </m:sSub>
            <m:sSubSup>
              <m:sSubSupPr>
                <m:ctrlPr>
                  <w:rPr>
                    <w:rFonts w:ascii="Cambria Math" w:eastAsia="SimSun" w:hAnsi="Cambria Math"/>
                    <w:i/>
                    <w:sz w:val="20"/>
                    <w:szCs w:val="20"/>
                  </w:rPr>
                </m:ctrlPr>
              </m:sSubSupPr>
              <m:e>
                <m:r>
                  <w:rPr>
                    <w:rFonts w:ascii="Cambria Math" w:hAnsi="Cambria Math"/>
                  </w:rPr>
                  <m:t>μ</m:t>
                </m:r>
              </m:e>
              <m:sub>
                <m:r>
                  <w:rPr>
                    <w:rFonts w:ascii="Cambria Math" w:hAnsi="Cambria Math"/>
                  </w:rPr>
                  <m:t>2</m:t>
                </m:r>
              </m:sub>
              <m:sup>
                <m:r>
                  <w:rPr>
                    <w:rFonts w:ascii="Cambria Math" w:hAnsi="Cambria Math"/>
                  </w:rPr>
                  <m:t>-1</m:t>
                </m:r>
              </m:sup>
            </m:sSubSup>
            <m:r>
              <w:rPr>
                <w:rFonts w:ascii="Cambria Math" w:hAnsi="Cambria Math"/>
              </w:rPr>
              <m:t>)</m:t>
            </m:r>
          </m:e>
          <m:sup>
            <m:r>
              <w:rPr>
                <w:rFonts w:ascii="Cambria Math" w:hAnsi="Cambria Math"/>
              </w:rPr>
              <m:t>-1</m:t>
            </m:r>
          </m:sup>
        </m:sSup>
        <m:r>
          <w:rPr>
            <w:rFonts w:ascii="Cambria Math" w:hAnsi="Cambria Math"/>
          </w:rPr>
          <m:t xml:space="preserve">  (</m:t>
        </m:r>
        <m:r>
          <m:rPr>
            <m:sty m:val="p"/>
          </m:rPr>
          <w:rPr>
            <w:rFonts w:ascii="Cambria Math" w:hAnsi="Cambria Math"/>
          </w:rPr>
          <m:t>mod L</m:t>
        </m:r>
        <m:r>
          <w:rPr>
            <w:rFonts w:ascii="Cambria Math" w:hAnsi="Cambria Math"/>
          </w:rPr>
          <m:t>)</m:t>
        </m:r>
      </m:oMath>
    </w:p>
    <w:p w14:paraId="312A1BC1" w14:textId="77777777" w:rsidR="002F5D7F" w:rsidRDefault="002F5D7F" w:rsidP="00BD2F35"/>
    <w:p w14:paraId="7D10DA8F" w14:textId="671ECF21" w:rsidR="002F5D7F" w:rsidRDefault="00FB1CBE" w:rsidP="00BD2F35">
      <w:r>
        <w:t xml:space="preserve">With </w:t>
      </w:r>
      <w:r w:rsidR="00D34B62">
        <w:t>2-rooted</w:t>
      </w:r>
      <w:r w:rsidR="00F97BA5">
        <w:t xml:space="preserve"> </w:t>
      </w:r>
      <w:r w:rsidR="00951894">
        <w:t>PRACH preamble</w:t>
      </w:r>
      <w:r w:rsidR="003037F4">
        <w:t>s</w:t>
      </w:r>
      <w:r w:rsidR="00951894">
        <w:t xml:space="preserve">, the </w:t>
      </w:r>
      <w:r w:rsidR="00234FBF">
        <w:t>detect</w:t>
      </w:r>
      <w:r w:rsidR="000A0ABA">
        <w:t>ion limit of</w:t>
      </w:r>
      <w:r w:rsidR="00234FBF">
        <w:t xml:space="preserve"> </w:t>
      </w:r>
      <w:r w:rsidR="00951894">
        <w:t xml:space="preserve">differential delay is then </w:t>
      </w:r>
      <w:r w:rsidR="00014CFE">
        <w:t>bounded</w:t>
      </w:r>
      <w:r w:rsidR="00951894">
        <w:t xml:space="preserve"> by the CP length and the </w:t>
      </w:r>
      <w:r w:rsidR="00234FBF">
        <w:t>detect</w:t>
      </w:r>
      <w:r w:rsidR="00014CFE">
        <w:t>ion limit of the</w:t>
      </w:r>
      <w:r w:rsidR="00234FBF">
        <w:t xml:space="preserve"> </w:t>
      </w:r>
      <w:r w:rsidR="00014CFE">
        <w:t>D</w:t>
      </w:r>
      <w:r w:rsidR="00951894">
        <w:t xml:space="preserve">oppler is </w:t>
      </w:r>
      <w:r w:rsidR="00014CFE">
        <w:t>bounded</w:t>
      </w:r>
      <w:r w:rsidR="00951894">
        <w:t xml:space="preserve"> by the </w:t>
      </w:r>
      <w:r>
        <w:t>sequence bandwidth, i.e., |f|&lt;=L/2.</w:t>
      </w:r>
      <w:r w:rsidR="002F5D7F">
        <w:t xml:space="preserve"> Receiver design and simulation results for 2-rooted PRACH design can be found in a companion paper [2].</w:t>
      </w:r>
    </w:p>
    <w:p w14:paraId="265A6542" w14:textId="7E15A02D" w:rsidR="00BD2F35" w:rsidRPr="0033192D" w:rsidRDefault="00234FBF" w:rsidP="00BD2F35">
      <w:r>
        <w:t xml:space="preserve">Below, we </w:t>
      </w:r>
      <w:r w:rsidR="007959A6">
        <w:t xml:space="preserve">examine the supported beam size using NR PRACH </w:t>
      </w:r>
      <w:r w:rsidR="00385C5B">
        <w:t xml:space="preserve">formats with </w:t>
      </w:r>
      <w:r w:rsidR="0075242A">
        <w:t>one or two roots.</w:t>
      </w:r>
    </w:p>
    <w:p w14:paraId="5ACD9A77" w14:textId="08385CC8" w:rsidR="00BC04F7" w:rsidRDefault="00BC04F7" w:rsidP="00EB4DC3">
      <w:pPr>
        <w:rPr>
          <w:lang w:val="en-GB"/>
        </w:rPr>
      </w:pPr>
      <w:r>
        <w:rPr>
          <w:lang w:val="en-GB"/>
        </w:rPr>
        <w:t xml:space="preserve">Consider the </w:t>
      </w:r>
      <w:r w:rsidR="00B80A00">
        <w:rPr>
          <w:lang w:val="en-GB"/>
        </w:rPr>
        <w:t xml:space="preserve">example </w:t>
      </w:r>
      <w:r>
        <w:rPr>
          <w:lang w:val="en-GB"/>
        </w:rPr>
        <w:t xml:space="preserve">NTN deployment scenario shown in figure </w:t>
      </w:r>
      <w:r w:rsidR="00642A22">
        <w:rPr>
          <w:lang w:val="en-GB"/>
        </w:rPr>
        <w:t>2</w:t>
      </w:r>
      <w:r>
        <w:rPr>
          <w:lang w:val="en-GB"/>
        </w:rPr>
        <w:t>.</w:t>
      </w:r>
      <w:r w:rsidR="003F0CCC" w:rsidRPr="003F0CCC">
        <w:t xml:space="preserve"> </w:t>
      </w:r>
      <w:r w:rsidR="003F0CCC" w:rsidRPr="003F0CCC">
        <w:rPr>
          <w:lang w:val="en-GB"/>
        </w:rPr>
        <w:t xml:space="preserve">It can be shown that the worst case (highest differential doppler </w:t>
      </w:r>
      <m:oMath>
        <m:r>
          <w:rPr>
            <w:rFonts w:ascii="Cambria Math" w:hAnsi="Cambria Math"/>
          </w:rPr>
          <m:t>×</m:t>
        </m:r>
      </m:oMath>
      <w:r w:rsidR="003F0CCC" w:rsidRPr="003F0CCC">
        <w:rPr>
          <w:lang w:val="en-GB"/>
        </w:rPr>
        <w:t xml:space="preserve"> </w:t>
      </w:r>
      <w:r w:rsidR="002B152B">
        <w:rPr>
          <w:lang w:val="en-GB"/>
        </w:rPr>
        <w:t xml:space="preserve">differential </w:t>
      </w:r>
      <w:r w:rsidR="003F0CCC" w:rsidRPr="003F0CCC">
        <w:rPr>
          <w:lang w:val="en-GB"/>
        </w:rPr>
        <w:t>RTD) is for the beams perpendicular to the direction of the satellite movement (i.e., blue beams)</w:t>
      </w:r>
      <w:r w:rsidR="00BF7CE6">
        <w:rPr>
          <w:lang w:val="en-GB"/>
        </w:rPr>
        <w:t xml:space="preserve">, therefore, these beams are </w:t>
      </w:r>
      <w:r w:rsidR="00846FBF">
        <w:rPr>
          <w:lang w:val="en-GB"/>
        </w:rPr>
        <w:t xml:space="preserve">used for the </w:t>
      </w:r>
      <w:r w:rsidR="00BF7CE6">
        <w:rPr>
          <w:lang w:val="en-GB"/>
        </w:rPr>
        <w:t>following argument</w:t>
      </w:r>
      <w:r w:rsidR="00846FBF">
        <w:rPr>
          <w:lang w:val="en-GB"/>
        </w:rPr>
        <w:t xml:space="preserve"> and analysis</w:t>
      </w:r>
      <w:r w:rsidR="00BF7CE6">
        <w:rPr>
          <w:lang w:val="en-GB"/>
        </w:rPr>
        <w:t xml:space="preserve">. </w:t>
      </w:r>
    </w:p>
    <w:p w14:paraId="05B834C1" w14:textId="5F03B490" w:rsidR="00C12255" w:rsidRDefault="00DB4E3B" w:rsidP="00DB4E3B">
      <w:pPr>
        <w:jc w:val="center"/>
      </w:pPr>
      <w:r>
        <w:object w:dxaOrig="4548" w:dyaOrig="4466" w14:anchorId="71B4B8AF">
          <v:shape id="_x0000_i1026" type="#_x0000_t75" style="width:227.25pt;height:223.5pt" o:ole="">
            <v:imagedata r:id="rId13" o:title=""/>
          </v:shape>
          <o:OLEObject Type="Embed" ProgID="Visio.Drawing.11" ShapeID="_x0000_i1026" DrawAspect="Content" ObjectID="_1631704416" r:id="rId14"/>
        </w:object>
      </w:r>
    </w:p>
    <w:p w14:paraId="2C32E569" w14:textId="754C1282" w:rsidR="00DB4E3B" w:rsidRPr="0033192D" w:rsidRDefault="00DB4E3B" w:rsidP="0033192D">
      <w:pPr>
        <w:jc w:val="center"/>
        <w:rPr>
          <w:b/>
          <w:lang w:val="en-GB"/>
        </w:rPr>
      </w:pPr>
      <w:r w:rsidRPr="0033192D">
        <w:rPr>
          <w:b/>
        </w:rPr>
        <w:t xml:space="preserve">Figure </w:t>
      </w:r>
      <w:r w:rsidR="00642A22">
        <w:rPr>
          <w:b/>
        </w:rPr>
        <w:t>2</w:t>
      </w:r>
      <w:r w:rsidRPr="0033192D">
        <w:rPr>
          <w:b/>
        </w:rPr>
        <w:t xml:space="preserve">: </w:t>
      </w:r>
      <w:r w:rsidR="001267C6" w:rsidRPr="0033192D">
        <w:rPr>
          <w:b/>
        </w:rPr>
        <w:t xml:space="preserve">Example </w:t>
      </w:r>
      <w:r w:rsidRPr="0033192D">
        <w:rPr>
          <w:b/>
        </w:rPr>
        <w:t>NTN Dep</w:t>
      </w:r>
      <w:r w:rsidR="001267C6" w:rsidRPr="0033192D">
        <w:rPr>
          <w:b/>
        </w:rPr>
        <w:t>l</w:t>
      </w:r>
      <w:r w:rsidRPr="0033192D">
        <w:rPr>
          <w:b/>
        </w:rPr>
        <w:t xml:space="preserve">oyment </w:t>
      </w:r>
      <w:r w:rsidR="001267C6" w:rsidRPr="0033192D">
        <w:rPr>
          <w:b/>
        </w:rPr>
        <w:t>Scenario</w:t>
      </w:r>
    </w:p>
    <w:p w14:paraId="60750725" w14:textId="77777777" w:rsidR="004A64A5" w:rsidRPr="004A64A5" w:rsidRDefault="004A64A5" w:rsidP="0033192D">
      <w:pPr>
        <w:tabs>
          <w:tab w:val="num" w:pos="720"/>
        </w:tabs>
      </w:pPr>
      <w:r w:rsidRPr="004A64A5">
        <w:t>To maintain orthogonality among UEs and use the same detection algorithm as NR, the following should be satisfied:</w:t>
      </w:r>
    </w:p>
    <w:p w14:paraId="04A00843" w14:textId="3EEA0815" w:rsidR="004A64A5" w:rsidRPr="004A64A5" w:rsidRDefault="004A64A5" w:rsidP="0033192D">
      <w:pPr>
        <w:numPr>
          <w:ilvl w:val="0"/>
          <w:numId w:val="51"/>
        </w:numPr>
        <w:tabs>
          <w:tab w:val="num" w:pos="1440"/>
        </w:tabs>
        <w:spacing w:after="0"/>
      </w:pPr>
      <w:r w:rsidRPr="004A64A5">
        <w:t xml:space="preserve">CP length, symbol length, </w:t>
      </w:r>
      <w:r w:rsidR="00640E9C">
        <w:t xml:space="preserve">and </w:t>
      </w:r>
      <w:r w:rsidRPr="004A64A5">
        <w:t xml:space="preserve">guard time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p>
    <w:p w14:paraId="0A69A273" w14:textId="60621D6F" w:rsidR="004A64A5" w:rsidRPr="004A64A5" w:rsidRDefault="004A64A5" w:rsidP="0033192D">
      <w:pPr>
        <w:numPr>
          <w:ilvl w:val="0"/>
          <w:numId w:val="51"/>
        </w:numPr>
        <w:tabs>
          <w:tab w:val="num" w:pos="1440"/>
        </w:tabs>
        <w:spacing w:after="0"/>
      </w:pPr>
      <w:r w:rsidRPr="004A64A5">
        <w:t>Unrestricted Set</w:t>
      </w:r>
      <w:r w:rsidR="00F07D29">
        <w:t xml:space="preserve"> for one-rooted </w:t>
      </w:r>
      <w:r w:rsidR="006B0ADA">
        <w:t>preamble</w:t>
      </w:r>
      <w:r w:rsidRPr="004A64A5">
        <w:t xml:space="preserve">: SCS </w:t>
      </w:r>
      <m:oMath>
        <m:r>
          <w:rPr>
            <w:rFonts w:ascii="Cambria Math" w:hAnsi="Cambria Math"/>
          </w:rPr>
          <m:t>≥2×</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189BA6C" w14:textId="1516C2F4" w:rsidR="004A64A5" w:rsidRPr="004A64A5" w:rsidRDefault="004A64A5" w:rsidP="0033192D">
      <w:pPr>
        <w:numPr>
          <w:ilvl w:val="0"/>
          <w:numId w:val="51"/>
        </w:numPr>
        <w:tabs>
          <w:tab w:val="num" w:pos="1440"/>
        </w:tabs>
        <w:spacing w:after="0"/>
      </w:pPr>
      <w:r w:rsidRPr="004A64A5">
        <w:t>Restricted Set Type A</w:t>
      </w:r>
      <w:r w:rsidR="006B0ADA">
        <w:t xml:space="preserve"> for one-rooted preamble</w:t>
      </w:r>
      <w:r w:rsidRPr="004A64A5">
        <w:t xml:space="preserve">: SCS </w:t>
      </w:r>
      <m:oMath>
        <m:r>
          <w:rPr>
            <w:rFonts w:ascii="Cambria Math" w:hAnsi="Cambria Math"/>
          </w:rPr>
          <m:t>≥</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6BC16DE4" w14:textId="026F0BBA" w:rsidR="004A64A5" w:rsidRPr="004A64A5" w:rsidRDefault="004A64A5" w:rsidP="0033192D">
      <w:pPr>
        <w:numPr>
          <w:ilvl w:val="0"/>
          <w:numId w:val="51"/>
        </w:numPr>
        <w:tabs>
          <w:tab w:val="num" w:pos="1440"/>
        </w:tabs>
        <w:spacing w:after="0"/>
      </w:pPr>
      <w:r w:rsidRPr="004A64A5">
        <w:t>Restricted Set Type B</w:t>
      </w:r>
      <w:r w:rsidR="006B0ADA">
        <w:t xml:space="preserve"> for one-rooted preamble</w:t>
      </w:r>
      <w:r w:rsidRPr="004A64A5">
        <w:t xml:space="preserve"> SCS </w:t>
      </w:r>
      <m:oMath>
        <m:r>
          <w:rPr>
            <w:rFonts w:ascii="Cambria Math" w:hAnsi="Cambria Math"/>
          </w:rPr>
          <m:t>≥0.5×</m:t>
        </m:r>
        <m:sSub>
          <m:sSubPr>
            <m:ctrlPr>
              <w:rPr>
                <w:rFonts w:ascii="Cambria Math" w:hAnsi="Cambria Math"/>
                <w:i/>
                <w:iCs/>
              </w:rPr>
            </m:ctrlPr>
          </m:sSubPr>
          <m:e>
            <m:r>
              <w:rPr>
                <w:rFonts w:ascii="Cambria Math" w:hAnsi="Cambria Math"/>
              </w:rPr>
              <m:t>fd</m:t>
            </m:r>
          </m:e>
          <m:sub>
            <m:r>
              <w:rPr>
                <w:rFonts w:ascii="Cambria Math" w:hAnsi="Cambria Math"/>
              </w:rPr>
              <m:t>diff,max</m:t>
            </m:r>
          </m:sub>
        </m:sSub>
      </m:oMath>
    </w:p>
    <w:p w14:paraId="1547F9BB" w14:textId="5B46DB53" w:rsidR="00C0063E" w:rsidRDefault="00C0063E" w:rsidP="00FC292D">
      <w:pPr>
        <w:spacing w:before="120"/>
      </w:pPr>
      <w:r>
        <w:rPr>
          <w:lang w:val="en-GB"/>
        </w:rPr>
        <w:t xml:space="preserve">Where </w:t>
      </w:r>
      <m:oMath>
        <m:r>
          <w:rPr>
            <w:rFonts w:ascii="Cambria Math" w:hAnsi="Cambria Math"/>
          </w:rPr>
          <m:t>RT</m:t>
        </m:r>
        <m:sSub>
          <m:sSubPr>
            <m:ctrlPr>
              <w:rPr>
                <w:rFonts w:ascii="Cambria Math" w:hAnsi="Cambria Math"/>
                <w:i/>
                <w:iCs/>
              </w:rPr>
            </m:ctrlPr>
          </m:sSubPr>
          <m:e>
            <m:r>
              <w:rPr>
                <w:rFonts w:ascii="Cambria Math" w:hAnsi="Cambria Math"/>
              </w:rPr>
              <m:t>D</m:t>
            </m:r>
          </m:e>
          <m:sub>
            <m:r>
              <w:rPr>
                <w:rFonts w:ascii="Cambria Math" w:hAnsi="Cambria Math"/>
              </w:rPr>
              <m:t>diff,max</m:t>
            </m:r>
          </m:sub>
        </m:sSub>
      </m:oMath>
      <w:r>
        <w:rPr>
          <w:iCs/>
        </w:rPr>
        <w:t xml:space="preserve"> and </w:t>
      </w:r>
      <m:oMath>
        <m:sSub>
          <m:sSubPr>
            <m:ctrlPr>
              <w:rPr>
                <w:rFonts w:ascii="Cambria Math" w:hAnsi="Cambria Math"/>
                <w:i/>
                <w:iCs/>
              </w:rPr>
            </m:ctrlPr>
          </m:sSubPr>
          <m:e>
            <m:r>
              <w:rPr>
                <w:rFonts w:ascii="Cambria Math" w:hAnsi="Cambria Math"/>
              </w:rPr>
              <m:t>fd</m:t>
            </m:r>
          </m:e>
          <m:sub>
            <m:r>
              <w:rPr>
                <w:rFonts w:ascii="Cambria Math" w:hAnsi="Cambria Math"/>
              </w:rPr>
              <m:t>diff,max</m:t>
            </m:r>
          </m:sub>
        </m:sSub>
      </m:oMath>
      <w:r>
        <w:rPr>
          <w:iCs/>
        </w:rPr>
        <w:t xml:space="preserve"> are the m</w:t>
      </w:r>
      <w:r w:rsidRPr="00C0063E">
        <w:t>aximum differential round trip delay (RTD)</w:t>
      </w:r>
      <w:r w:rsidR="00CD2F3F">
        <w:t xml:space="preserve"> and maxi</w:t>
      </w:r>
      <w:r w:rsidRPr="00C0063E">
        <w:t>mum differential doppler shift in a beam</w:t>
      </w:r>
      <w:r w:rsidR="00CD2F3F">
        <w:t>, respectively.</w:t>
      </w:r>
    </w:p>
    <w:p w14:paraId="0483E33B" w14:textId="3D6CB454" w:rsidR="00C337D9" w:rsidRPr="0033192D" w:rsidRDefault="00C337D9" w:rsidP="00FC292D">
      <w:pPr>
        <w:spacing w:before="120"/>
        <w:rPr>
          <w:b/>
          <w:u w:val="single"/>
        </w:rPr>
      </w:pPr>
      <w:r w:rsidRPr="0033192D">
        <w:rPr>
          <w:b/>
          <w:u w:val="single"/>
        </w:rPr>
        <w:t>Maximum “Fixed</w:t>
      </w:r>
      <w:r w:rsidR="00AB635B">
        <w:rPr>
          <w:b/>
          <w:u w:val="single"/>
        </w:rPr>
        <w:t xml:space="preserve"> Diameter</w:t>
      </w:r>
      <w:r w:rsidRPr="0033192D">
        <w:rPr>
          <w:b/>
          <w:u w:val="single"/>
        </w:rPr>
        <w:t>” Beam Footpri</w:t>
      </w:r>
      <w:r w:rsidR="00AB635B">
        <w:rPr>
          <w:b/>
          <w:u w:val="single"/>
        </w:rPr>
        <w:t>nt</w:t>
      </w:r>
    </w:p>
    <w:p w14:paraId="4E48279F" w14:textId="0B533448" w:rsidR="00C45249" w:rsidRDefault="00220C9A" w:rsidP="00FC292D">
      <w:pPr>
        <w:spacing w:before="120"/>
      </w:pPr>
      <w:r>
        <w:t>G</w:t>
      </w:r>
      <w:r w:rsidR="00185E54">
        <w:t>iven a satellite altitude</w:t>
      </w:r>
      <w:r w:rsidR="00E911B8">
        <w:t xml:space="preserve">, </w:t>
      </w:r>
      <w:r w:rsidR="00185E54">
        <w:t>minimum elevation angle</w:t>
      </w:r>
      <w:r w:rsidR="00E911B8">
        <w:t>, and UL frequency</w:t>
      </w:r>
      <w:r w:rsidR="00185E54">
        <w:t>, we can find t</w:t>
      </w:r>
      <w:r w:rsidR="008A3057">
        <w:t xml:space="preserve">he maximum possible </w:t>
      </w:r>
      <w:r w:rsidR="00AB635B">
        <w:t xml:space="preserve">fixed </w:t>
      </w:r>
      <w:r>
        <w:t xml:space="preserve">beam footprint diameter </w:t>
      </w:r>
      <w:r w:rsidR="00B1590A">
        <w:t xml:space="preserve">on the ground </w:t>
      </w:r>
      <w:r w:rsidR="00AB635B">
        <w:t>(i.e., all beams have the same footp</w:t>
      </w:r>
      <w:r w:rsidR="003374FF">
        <w:t>r</w:t>
      </w:r>
      <w:r w:rsidR="00AB635B">
        <w:t>int diameter)</w:t>
      </w:r>
      <w:r w:rsidR="00420CD2">
        <w:t>, shown in table 2,</w:t>
      </w:r>
      <w:r w:rsidR="00AB635B">
        <w:t xml:space="preserve"> </w:t>
      </w:r>
      <w:r w:rsidR="002213AC">
        <w:t xml:space="preserve">to satisfy the above conditions </w:t>
      </w:r>
      <w:r w:rsidR="005137DC">
        <w:t xml:space="preserve">using the formats </w:t>
      </w:r>
      <w:r w:rsidR="0081745E">
        <w:t>used</w:t>
      </w:r>
      <w:r w:rsidR="005137DC">
        <w:t xml:space="preserve"> in NR</w:t>
      </w:r>
      <w:r w:rsidR="008D2739">
        <w:t xml:space="preserve">. </w:t>
      </w:r>
      <w:r w:rsidR="007A2B25">
        <w:t>For 1-rooted preamble</w:t>
      </w:r>
      <w:r w:rsidR="008D2739">
        <w:t xml:space="preserve">, </w:t>
      </w:r>
      <w:r w:rsidR="00F1397C">
        <w:t xml:space="preserve">the maximum beam size supported among all NR PRACH format </w:t>
      </w:r>
      <w:r w:rsidR="001C68E5">
        <w:t xml:space="preserve">is </w:t>
      </w:r>
      <w:r w:rsidR="00562BE6">
        <w:t>calculated for a given elevation angle</w:t>
      </w:r>
      <w:r w:rsidR="001C68E5">
        <w:t xml:space="preserve">. For 2-rooted preamble, </w:t>
      </w:r>
      <w:r w:rsidR="005A171B">
        <w:t xml:space="preserve">NR SCS 1.25 kHz format 2 is assumed. </w:t>
      </w:r>
    </w:p>
    <w:p w14:paraId="01B09FFB" w14:textId="6E7D97CD" w:rsidR="00C0063E" w:rsidRPr="0033192D" w:rsidRDefault="00C45249" w:rsidP="0033192D">
      <w:pPr>
        <w:spacing w:before="120"/>
        <w:jc w:val="center"/>
        <w:rPr>
          <w:b/>
        </w:rPr>
      </w:pPr>
      <w:r w:rsidRPr="0033192D">
        <w:rPr>
          <w:b/>
        </w:rPr>
        <w:t>Ta</w:t>
      </w:r>
      <w:r w:rsidR="003D2ED5" w:rsidRPr="0033192D">
        <w:rPr>
          <w:b/>
        </w:rPr>
        <w:t>b</w:t>
      </w:r>
      <w:r w:rsidRPr="0033192D">
        <w:rPr>
          <w:b/>
        </w:rPr>
        <w:t>le 2: M</w:t>
      </w:r>
      <w:r w:rsidR="0031739C" w:rsidRPr="0033192D">
        <w:rPr>
          <w:b/>
        </w:rPr>
        <w:t>aximum possible beam footprint diameter</w:t>
      </w:r>
      <w:r w:rsidR="00CB16D7" w:rsidRPr="0033192D">
        <w:rPr>
          <w:b/>
        </w:rPr>
        <w:t>s</w:t>
      </w:r>
    </w:p>
    <w:tbl>
      <w:tblPr>
        <w:tblStyle w:val="GridTable1Light"/>
        <w:tblW w:w="0" w:type="auto"/>
        <w:jc w:val="center"/>
        <w:tblLook w:val="0420" w:firstRow="1" w:lastRow="0" w:firstColumn="0" w:lastColumn="0" w:noHBand="0" w:noVBand="1"/>
      </w:tblPr>
      <w:tblGrid>
        <w:gridCol w:w="916"/>
        <w:gridCol w:w="1038"/>
        <w:gridCol w:w="1038"/>
      </w:tblGrid>
      <w:tr w:rsidR="00491544" w14:paraId="72D33DA6" w14:textId="78346D10" w:rsidTr="0033192D">
        <w:trPr>
          <w:cnfStyle w:val="100000000000" w:firstRow="1" w:lastRow="0" w:firstColumn="0" w:lastColumn="0" w:oddVBand="0" w:evenVBand="0" w:oddHBand="0" w:evenHBand="0" w:firstRowFirstColumn="0" w:firstRowLastColumn="0" w:lastRowFirstColumn="0" w:lastRowLastColumn="0"/>
          <w:jc w:val="center"/>
        </w:trPr>
        <w:tc>
          <w:tcPr>
            <w:tcW w:w="0" w:type="dxa"/>
            <w:vMerge w:val="restart"/>
          </w:tcPr>
          <w:p w14:paraId="5AB9EEE0" w14:textId="6B6F97A7" w:rsidR="00491544" w:rsidRDefault="00491544" w:rsidP="0033192D">
            <w:pPr>
              <w:spacing w:after="0"/>
            </w:pPr>
            <w:r>
              <w:t>Satellite Altitude (km)</w:t>
            </w:r>
          </w:p>
        </w:tc>
        <w:tc>
          <w:tcPr>
            <w:tcW w:w="0" w:type="dxa"/>
            <w:gridSpan w:val="2"/>
          </w:tcPr>
          <w:p w14:paraId="0E48FEB8" w14:textId="2017F6DE" w:rsidR="00491544" w:rsidRDefault="00491544" w:rsidP="00CC45FF">
            <w:pPr>
              <w:spacing w:after="0"/>
              <w:jc w:val="center"/>
            </w:pPr>
            <w:r>
              <w:t>Max Beam Footprint Diameter (km)</w:t>
            </w:r>
          </w:p>
        </w:tc>
      </w:tr>
      <w:tr w:rsidR="00491544" w14:paraId="18373D23" w14:textId="66367FC1" w:rsidTr="0033192D">
        <w:trPr>
          <w:jc w:val="center"/>
        </w:trPr>
        <w:tc>
          <w:tcPr>
            <w:tcW w:w="0" w:type="dxa"/>
            <w:vMerge/>
          </w:tcPr>
          <w:p w14:paraId="68C69457" w14:textId="77777777" w:rsidR="00491544" w:rsidRDefault="00491544" w:rsidP="0033192D">
            <w:pPr>
              <w:spacing w:after="0"/>
            </w:pPr>
          </w:p>
        </w:tc>
        <w:tc>
          <w:tcPr>
            <w:tcW w:w="0" w:type="dxa"/>
          </w:tcPr>
          <w:p w14:paraId="2535B396" w14:textId="3ABFD3B3" w:rsidR="00491544" w:rsidRPr="0033192D" w:rsidRDefault="00EF0900" w:rsidP="00CC45FF">
            <w:pPr>
              <w:spacing w:after="0"/>
              <w:jc w:val="center"/>
              <w:rPr>
                <w:b/>
              </w:rPr>
            </w:pPr>
            <w:r>
              <w:rPr>
                <w:b/>
              </w:rPr>
              <w:t>1-Root</w:t>
            </w:r>
            <w:r w:rsidR="00D0234F">
              <w:rPr>
                <w:b/>
              </w:rPr>
              <w:t>ed</w:t>
            </w:r>
            <w:r>
              <w:rPr>
                <w:b/>
              </w:rPr>
              <w:t xml:space="preserve"> Preamble</w:t>
            </w:r>
          </w:p>
        </w:tc>
        <w:tc>
          <w:tcPr>
            <w:tcW w:w="0" w:type="dxa"/>
          </w:tcPr>
          <w:p w14:paraId="53D00FB0" w14:textId="6C2948D9" w:rsidR="00491544" w:rsidRPr="0033192D" w:rsidRDefault="00BF199A" w:rsidP="00CC45FF">
            <w:pPr>
              <w:spacing w:after="0"/>
              <w:jc w:val="center"/>
              <w:rPr>
                <w:b/>
              </w:rPr>
            </w:pPr>
            <w:r w:rsidRPr="00016FED">
              <w:rPr>
                <w:b/>
              </w:rPr>
              <w:t>2-</w:t>
            </w:r>
            <w:r w:rsidR="007360A6" w:rsidRPr="00016FED">
              <w:rPr>
                <w:b/>
              </w:rPr>
              <w:t>Root</w:t>
            </w:r>
            <w:r w:rsidR="00D0234F" w:rsidRPr="00016FED">
              <w:rPr>
                <w:b/>
              </w:rPr>
              <w:t>ed</w:t>
            </w:r>
            <w:r w:rsidRPr="00016FED">
              <w:rPr>
                <w:b/>
              </w:rPr>
              <w:t xml:space="preserve"> Preamble</w:t>
            </w:r>
          </w:p>
        </w:tc>
      </w:tr>
      <w:tr w:rsidR="00491544" w14:paraId="768AC445" w14:textId="0175615A" w:rsidTr="0033192D">
        <w:trPr>
          <w:jc w:val="center"/>
        </w:trPr>
        <w:tc>
          <w:tcPr>
            <w:tcW w:w="0" w:type="dxa"/>
          </w:tcPr>
          <w:p w14:paraId="2CF0F760" w14:textId="75D26AA2" w:rsidR="00491544" w:rsidRDefault="00491544" w:rsidP="0033192D">
            <w:pPr>
              <w:spacing w:after="0"/>
            </w:pPr>
            <w:r>
              <w:t>600 (LEO)</w:t>
            </w:r>
          </w:p>
        </w:tc>
        <w:tc>
          <w:tcPr>
            <w:tcW w:w="0" w:type="dxa"/>
          </w:tcPr>
          <w:p w14:paraId="334EF145" w14:textId="6FBD99DD" w:rsidR="00491544" w:rsidRDefault="00491544" w:rsidP="0033192D">
            <w:pPr>
              <w:spacing w:after="0"/>
              <w:jc w:val="center"/>
            </w:pPr>
            <w:r>
              <w:t>13</w:t>
            </w:r>
          </w:p>
        </w:tc>
        <w:tc>
          <w:tcPr>
            <w:tcW w:w="0" w:type="dxa"/>
          </w:tcPr>
          <w:p w14:paraId="0F245B6B" w14:textId="5B2854D7" w:rsidR="00491544" w:rsidRDefault="00BE5222" w:rsidP="00CC45FF">
            <w:pPr>
              <w:spacing w:after="0"/>
              <w:jc w:val="center"/>
            </w:pPr>
            <w:r>
              <w:t>120</w:t>
            </w:r>
          </w:p>
        </w:tc>
      </w:tr>
      <w:tr w:rsidR="00491544" w14:paraId="12B2B372" w14:textId="1684B98E" w:rsidTr="0033192D">
        <w:trPr>
          <w:jc w:val="center"/>
        </w:trPr>
        <w:tc>
          <w:tcPr>
            <w:tcW w:w="0" w:type="dxa"/>
          </w:tcPr>
          <w:p w14:paraId="2D8E7F70" w14:textId="03545E7A" w:rsidR="00491544" w:rsidRDefault="00491544" w:rsidP="0033192D">
            <w:pPr>
              <w:spacing w:after="0"/>
            </w:pPr>
            <w:r>
              <w:t>1500 (LEO)</w:t>
            </w:r>
          </w:p>
        </w:tc>
        <w:tc>
          <w:tcPr>
            <w:tcW w:w="0" w:type="dxa"/>
          </w:tcPr>
          <w:p w14:paraId="4EBBB8F0" w14:textId="323B1664" w:rsidR="00491544" w:rsidRDefault="00491544" w:rsidP="0033192D">
            <w:pPr>
              <w:spacing w:after="0"/>
              <w:jc w:val="center"/>
            </w:pPr>
            <w:r>
              <w:t>19</w:t>
            </w:r>
          </w:p>
        </w:tc>
        <w:tc>
          <w:tcPr>
            <w:tcW w:w="0" w:type="dxa"/>
          </w:tcPr>
          <w:p w14:paraId="7CCF4AE2" w14:textId="5EFDE024" w:rsidR="00491544" w:rsidRDefault="005D280D" w:rsidP="00CC45FF">
            <w:pPr>
              <w:spacing w:after="0"/>
              <w:jc w:val="center"/>
            </w:pPr>
            <w:r>
              <w:t>122</w:t>
            </w:r>
          </w:p>
        </w:tc>
      </w:tr>
      <w:tr w:rsidR="00491544" w14:paraId="09D1B23E" w14:textId="1DADD481" w:rsidTr="0033192D">
        <w:trPr>
          <w:jc w:val="center"/>
        </w:trPr>
        <w:tc>
          <w:tcPr>
            <w:tcW w:w="0" w:type="dxa"/>
          </w:tcPr>
          <w:p w14:paraId="449893F6" w14:textId="16D2D060" w:rsidR="00491544" w:rsidRDefault="00491544" w:rsidP="0033192D">
            <w:pPr>
              <w:spacing w:after="0"/>
            </w:pPr>
            <w:r>
              <w:t>7000 (MEO)</w:t>
            </w:r>
          </w:p>
        </w:tc>
        <w:tc>
          <w:tcPr>
            <w:tcW w:w="0" w:type="dxa"/>
          </w:tcPr>
          <w:p w14:paraId="2C7118D0" w14:textId="3F229870" w:rsidR="00491544" w:rsidRDefault="00491544" w:rsidP="0033192D">
            <w:pPr>
              <w:spacing w:after="0"/>
              <w:jc w:val="center"/>
            </w:pPr>
            <w:r>
              <w:t>64</w:t>
            </w:r>
          </w:p>
        </w:tc>
        <w:tc>
          <w:tcPr>
            <w:tcW w:w="0" w:type="dxa"/>
          </w:tcPr>
          <w:p w14:paraId="30BE29DD" w14:textId="15B16C38" w:rsidR="00491544" w:rsidRDefault="00030CD6" w:rsidP="00CC45FF">
            <w:pPr>
              <w:spacing w:after="0"/>
              <w:jc w:val="center"/>
            </w:pPr>
            <w:r>
              <w:t>124</w:t>
            </w:r>
          </w:p>
        </w:tc>
      </w:tr>
      <w:tr w:rsidR="00491544" w14:paraId="67B8B866" w14:textId="16AFE131" w:rsidTr="0033192D">
        <w:trPr>
          <w:jc w:val="center"/>
        </w:trPr>
        <w:tc>
          <w:tcPr>
            <w:tcW w:w="0" w:type="dxa"/>
          </w:tcPr>
          <w:p w14:paraId="4CAF9D5C" w14:textId="3476D61E" w:rsidR="00491544" w:rsidRDefault="00491544" w:rsidP="0033192D">
            <w:pPr>
              <w:spacing w:after="0"/>
            </w:pPr>
            <w:r>
              <w:t>20000 (MEO)</w:t>
            </w:r>
          </w:p>
        </w:tc>
        <w:tc>
          <w:tcPr>
            <w:tcW w:w="0" w:type="dxa"/>
          </w:tcPr>
          <w:p w14:paraId="0834AC0A" w14:textId="7484F866" w:rsidR="00491544" w:rsidRDefault="00491544" w:rsidP="0033192D">
            <w:pPr>
              <w:spacing w:after="0"/>
              <w:jc w:val="center"/>
            </w:pPr>
            <w:r>
              <w:t>125</w:t>
            </w:r>
          </w:p>
        </w:tc>
        <w:tc>
          <w:tcPr>
            <w:tcW w:w="0" w:type="dxa"/>
          </w:tcPr>
          <w:p w14:paraId="745EDA1B" w14:textId="644C2850" w:rsidR="00491544" w:rsidRDefault="0040369E" w:rsidP="00CC45FF">
            <w:pPr>
              <w:spacing w:after="0"/>
              <w:jc w:val="center"/>
            </w:pPr>
            <w:r>
              <w:t>125</w:t>
            </w:r>
          </w:p>
        </w:tc>
      </w:tr>
    </w:tbl>
    <w:p w14:paraId="7D3A5AEB" w14:textId="77777777" w:rsidR="00F93DD4" w:rsidRDefault="00F93DD4" w:rsidP="00C0063E"/>
    <w:p w14:paraId="0B102B83" w14:textId="7FE66008" w:rsidR="00930BD1" w:rsidRDefault="00930BD1" w:rsidP="00930BD1">
      <w:pPr>
        <w:spacing w:before="120"/>
        <w:rPr>
          <w:b/>
          <w:u w:val="single"/>
        </w:rPr>
      </w:pPr>
      <w:r w:rsidRPr="007E53EB">
        <w:rPr>
          <w:b/>
          <w:u w:val="single"/>
        </w:rPr>
        <w:t>Maximum “</w:t>
      </w:r>
      <w:r>
        <w:rPr>
          <w:b/>
          <w:u w:val="single"/>
        </w:rPr>
        <w:t>Variable</w:t>
      </w:r>
      <w:r w:rsidR="007852BF">
        <w:rPr>
          <w:b/>
          <w:u w:val="single"/>
        </w:rPr>
        <w:t xml:space="preserve"> Diameter</w:t>
      </w:r>
      <w:r w:rsidRPr="007E53EB">
        <w:rPr>
          <w:b/>
          <w:u w:val="single"/>
        </w:rPr>
        <w:t>” Beam Footprin</w:t>
      </w:r>
      <w:r w:rsidR="007852BF">
        <w:rPr>
          <w:b/>
          <w:u w:val="single"/>
        </w:rPr>
        <w:t>t</w:t>
      </w:r>
    </w:p>
    <w:p w14:paraId="5742A044" w14:textId="25EA13BC" w:rsidR="00C43D65" w:rsidRPr="0033192D" w:rsidRDefault="00EF1DB4" w:rsidP="00CB6B8A">
      <w:pPr>
        <w:spacing w:before="120"/>
      </w:pPr>
      <w:r w:rsidRPr="0033192D">
        <w:t xml:space="preserve">Since </w:t>
      </w:r>
      <w:r w:rsidR="00860690">
        <w:t xml:space="preserve">for each beam, the product of </w:t>
      </w:r>
      <w:r w:rsidR="00860690" w:rsidRPr="003F0CCC">
        <w:rPr>
          <w:lang w:val="en-GB"/>
        </w:rPr>
        <w:t xml:space="preserve">differential doppler </w:t>
      </w:r>
      <m:oMath>
        <m:r>
          <w:rPr>
            <w:rFonts w:ascii="Cambria Math" w:hAnsi="Cambria Math"/>
          </w:rPr>
          <m:t>×</m:t>
        </m:r>
      </m:oMath>
      <w:r w:rsidR="00860690" w:rsidRPr="003F0CCC">
        <w:rPr>
          <w:lang w:val="en-GB"/>
        </w:rPr>
        <w:t xml:space="preserve"> </w:t>
      </w:r>
      <w:r w:rsidR="00860690">
        <w:rPr>
          <w:lang w:val="en-GB"/>
        </w:rPr>
        <w:t xml:space="preserve">differential </w:t>
      </w:r>
      <w:r w:rsidR="00860690" w:rsidRPr="003F0CCC">
        <w:rPr>
          <w:lang w:val="en-GB"/>
        </w:rPr>
        <w:t>RTD</w:t>
      </w:r>
      <w:r w:rsidR="00860690">
        <w:rPr>
          <w:lang w:val="en-GB"/>
        </w:rPr>
        <w:t xml:space="preserve"> is different, </w:t>
      </w:r>
      <w:r w:rsidR="000411A2">
        <w:rPr>
          <w:lang w:val="en-GB"/>
        </w:rPr>
        <w:t xml:space="preserve">the beam </w:t>
      </w:r>
      <w:r w:rsidR="007A2B54">
        <w:rPr>
          <w:lang w:val="en-GB"/>
        </w:rPr>
        <w:t xml:space="preserve">footprint </w:t>
      </w:r>
      <w:r w:rsidR="000411A2">
        <w:rPr>
          <w:lang w:val="en-GB"/>
        </w:rPr>
        <w:t>diameter that can satisfy the above condition</w:t>
      </w:r>
      <w:r w:rsidR="007A2B54">
        <w:rPr>
          <w:lang w:val="en-GB"/>
        </w:rPr>
        <w:t>s</w:t>
      </w:r>
      <w:r w:rsidR="000411A2">
        <w:rPr>
          <w:lang w:val="en-GB"/>
        </w:rPr>
        <w:t xml:space="preserve"> may also be different. </w:t>
      </w:r>
      <w:r w:rsidR="004B2124">
        <w:rPr>
          <w:lang w:val="en-GB"/>
        </w:rPr>
        <w:t xml:space="preserve">Figures </w:t>
      </w:r>
      <w:r w:rsidR="00C41677">
        <w:rPr>
          <w:lang w:val="en-GB"/>
        </w:rPr>
        <w:t>3</w:t>
      </w:r>
      <w:r w:rsidR="004B2124">
        <w:rPr>
          <w:lang w:val="en-GB"/>
        </w:rPr>
        <w:t xml:space="preserve">a </w:t>
      </w:r>
      <w:r w:rsidR="00C65A27">
        <w:rPr>
          <w:lang w:val="en-GB"/>
        </w:rPr>
        <w:t>and</w:t>
      </w:r>
      <w:r w:rsidR="004B2124">
        <w:rPr>
          <w:lang w:val="en-GB"/>
        </w:rPr>
        <w:t xml:space="preserve"> </w:t>
      </w:r>
      <w:r w:rsidR="00C41677">
        <w:rPr>
          <w:lang w:val="en-GB"/>
        </w:rPr>
        <w:t>3</w:t>
      </w:r>
      <w:r w:rsidR="00C65A27">
        <w:rPr>
          <w:lang w:val="en-GB"/>
        </w:rPr>
        <w:t>b</w:t>
      </w:r>
      <w:r w:rsidR="004B2124">
        <w:rPr>
          <w:lang w:val="en-GB"/>
        </w:rPr>
        <w:t xml:space="preserve"> show the </w:t>
      </w:r>
      <w:r w:rsidR="00973790">
        <w:rPr>
          <w:lang w:val="en-GB"/>
        </w:rPr>
        <w:t xml:space="preserve">maximum beam </w:t>
      </w:r>
      <w:r w:rsidR="008F5B1F">
        <w:rPr>
          <w:lang w:val="en-GB"/>
        </w:rPr>
        <w:t>foot</w:t>
      </w:r>
      <w:r w:rsidR="00973790">
        <w:rPr>
          <w:lang w:val="en-GB"/>
        </w:rPr>
        <w:t xml:space="preserve">print diameter per beam </w:t>
      </w:r>
      <w:r w:rsidR="00CB6B8A">
        <w:rPr>
          <w:lang w:val="en-GB"/>
        </w:rPr>
        <w:t>supported by NR PRACH formats.</w:t>
      </w:r>
    </w:p>
    <w:p w14:paraId="14391AEB" w14:textId="2003CD5E" w:rsidR="008F293B" w:rsidRPr="0033192D" w:rsidRDefault="00D10E42" w:rsidP="00930BD1">
      <w:pPr>
        <w:spacing w:before="120"/>
      </w:pPr>
      <w:r>
        <w:t xml:space="preserve">The x-axis is the beam index of the blue beams in figure </w:t>
      </w:r>
      <w:r w:rsidR="00375931">
        <w:t>2</w:t>
      </w:r>
      <w:r>
        <w:t xml:space="preserve"> (the </w:t>
      </w:r>
      <w:r w:rsidR="003260EC">
        <w:t>higher the index, the further away from the satellite nadir).</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6"/>
        <w:gridCol w:w="4986"/>
      </w:tblGrid>
      <w:tr w:rsidR="00DE447E" w14:paraId="2188AF31" w14:textId="77777777" w:rsidTr="0033192D">
        <w:trPr>
          <w:jc w:val="center"/>
        </w:trPr>
        <w:tc>
          <w:tcPr>
            <w:tcW w:w="4981" w:type="dxa"/>
          </w:tcPr>
          <w:p w14:paraId="738B0492" w14:textId="32AE6C67" w:rsidR="00967A60" w:rsidRDefault="00F80A9A" w:rsidP="00967A60">
            <w:pPr>
              <w:spacing w:before="0" w:after="0"/>
              <w:jc w:val="center"/>
            </w:pPr>
            <w:r w:rsidRPr="00F80A9A">
              <w:rPr>
                <w:noProof/>
              </w:rPr>
              <w:drawing>
                <wp:inline distT="0" distB="0" distL="0" distR="0" wp14:anchorId="4CC1CFF5" wp14:editId="4A2A3A6F">
                  <wp:extent cx="3200400" cy="239762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6D706D01" w14:textId="567A32B6" w:rsidR="00DE447E" w:rsidRPr="0033192D" w:rsidRDefault="00DE447E" w:rsidP="0033192D">
            <w:pPr>
              <w:spacing w:before="0" w:after="0"/>
              <w:jc w:val="center"/>
              <w:rPr>
                <w:b/>
              </w:rPr>
            </w:pPr>
            <w:r w:rsidRPr="0033192D">
              <w:rPr>
                <w:b/>
              </w:rPr>
              <w:t xml:space="preserve">Figure </w:t>
            </w:r>
            <w:r w:rsidR="00375931">
              <w:rPr>
                <w:b/>
              </w:rPr>
              <w:t>3</w:t>
            </w:r>
            <w:r w:rsidRPr="0033192D">
              <w:rPr>
                <w:b/>
              </w:rPr>
              <w:t xml:space="preserve">a: </w:t>
            </w:r>
            <w:r w:rsidR="0064360E">
              <w:rPr>
                <w:b/>
              </w:rPr>
              <w:t xml:space="preserve">Assuming </w:t>
            </w:r>
            <w:r w:rsidR="00375931">
              <w:rPr>
                <w:b/>
              </w:rPr>
              <w:t>1-rooted preamble</w:t>
            </w:r>
          </w:p>
        </w:tc>
        <w:tc>
          <w:tcPr>
            <w:tcW w:w="4981" w:type="dxa"/>
          </w:tcPr>
          <w:p w14:paraId="2B35D546" w14:textId="2FE48FBF" w:rsidR="00967A60" w:rsidRDefault="00574B3F" w:rsidP="00967A60">
            <w:pPr>
              <w:spacing w:before="0" w:after="0"/>
              <w:jc w:val="center"/>
            </w:pPr>
            <w:r w:rsidRPr="00574B3F">
              <w:rPr>
                <w:noProof/>
              </w:rPr>
              <w:drawing>
                <wp:inline distT="0" distB="0" distL="0" distR="0" wp14:anchorId="7A98475D" wp14:editId="20ACDBFA">
                  <wp:extent cx="3200400" cy="2397628"/>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400" cy="2397628"/>
                          </a:xfrm>
                          <a:prstGeom prst="rect">
                            <a:avLst/>
                          </a:prstGeom>
                          <a:noFill/>
                          <a:ln>
                            <a:noFill/>
                          </a:ln>
                        </pic:spPr>
                      </pic:pic>
                    </a:graphicData>
                  </a:graphic>
                </wp:inline>
              </w:drawing>
            </w:r>
          </w:p>
          <w:p w14:paraId="0D12B3CE" w14:textId="0A8F6214" w:rsidR="00DE447E" w:rsidRPr="0033192D" w:rsidRDefault="00103223" w:rsidP="0033192D">
            <w:pPr>
              <w:spacing w:before="0" w:after="0"/>
              <w:jc w:val="center"/>
              <w:rPr>
                <w:b/>
              </w:rPr>
            </w:pPr>
            <w:r w:rsidRPr="0033192D">
              <w:rPr>
                <w:b/>
              </w:rPr>
              <w:t xml:space="preserve">Figure </w:t>
            </w:r>
            <w:r w:rsidR="00375931">
              <w:rPr>
                <w:b/>
              </w:rPr>
              <w:t>3</w:t>
            </w:r>
            <w:r w:rsidRPr="0033192D">
              <w:rPr>
                <w:b/>
              </w:rPr>
              <w:t xml:space="preserve">b: </w:t>
            </w:r>
            <w:r w:rsidR="00F80A9A">
              <w:rPr>
                <w:b/>
              </w:rPr>
              <w:t>A</w:t>
            </w:r>
            <w:r w:rsidR="00771FD3">
              <w:rPr>
                <w:b/>
              </w:rPr>
              <w:t>s</w:t>
            </w:r>
            <w:r w:rsidR="00F80A9A">
              <w:rPr>
                <w:b/>
              </w:rPr>
              <w:t xml:space="preserve">suming </w:t>
            </w:r>
            <w:r w:rsidR="00771FD3">
              <w:rPr>
                <w:b/>
              </w:rPr>
              <w:t>2-Root</w:t>
            </w:r>
            <w:r w:rsidR="00375931">
              <w:rPr>
                <w:b/>
              </w:rPr>
              <w:t xml:space="preserve">ed </w:t>
            </w:r>
            <w:r w:rsidR="00771FD3">
              <w:rPr>
                <w:b/>
              </w:rPr>
              <w:t xml:space="preserve">Preamble </w:t>
            </w:r>
          </w:p>
        </w:tc>
      </w:tr>
    </w:tbl>
    <w:p w14:paraId="5563F901" w14:textId="07E892D2" w:rsidR="00C0063E" w:rsidRDefault="00C0063E" w:rsidP="00C0063E"/>
    <w:p w14:paraId="7F324280" w14:textId="05E70F99" w:rsidR="00BC04F7" w:rsidRDefault="00AC2BB8" w:rsidP="00EB4DC3">
      <w:pPr>
        <w:rPr>
          <w:b/>
        </w:rPr>
      </w:pPr>
      <w:r w:rsidRPr="007E53EB">
        <w:rPr>
          <w:b/>
        </w:rPr>
        <w:t xml:space="preserve">Observation </w:t>
      </w:r>
      <w:r w:rsidR="002F5D7F">
        <w:rPr>
          <w:b/>
        </w:rPr>
        <w:t>2</w:t>
      </w:r>
      <w:r w:rsidRPr="007E53EB">
        <w:rPr>
          <w:b/>
        </w:rPr>
        <w:t xml:space="preserve">: </w:t>
      </w:r>
      <w:r w:rsidR="00BA7B3F">
        <w:rPr>
          <w:b/>
        </w:rPr>
        <w:t>The</w:t>
      </w:r>
      <w:r w:rsidRPr="007E53EB">
        <w:rPr>
          <w:b/>
        </w:rPr>
        <w:t xml:space="preserve"> </w:t>
      </w:r>
      <w:r>
        <w:rPr>
          <w:b/>
        </w:rPr>
        <w:t>2-root</w:t>
      </w:r>
      <w:r w:rsidR="00BA13A9">
        <w:rPr>
          <w:b/>
        </w:rPr>
        <w:t>ed</w:t>
      </w:r>
      <w:r>
        <w:rPr>
          <w:b/>
        </w:rPr>
        <w:t xml:space="preserve"> </w:t>
      </w:r>
      <w:r w:rsidR="00BA7B3F">
        <w:rPr>
          <w:b/>
        </w:rPr>
        <w:t>PRACH preamble design</w:t>
      </w:r>
      <w:r>
        <w:rPr>
          <w:b/>
        </w:rPr>
        <w:t xml:space="preserve"> </w:t>
      </w:r>
      <w:r w:rsidR="00054CC6">
        <w:rPr>
          <w:b/>
        </w:rPr>
        <w:t xml:space="preserve">considerably </w:t>
      </w:r>
      <w:r>
        <w:rPr>
          <w:b/>
        </w:rPr>
        <w:t xml:space="preserve">increases the </w:t>
      </w:r>
      <w:r w:rsidR="003C5A07">
        <w:rPr>
          <w:b/>
        </w:rPr>
        <w:t xml:space="preserve">supported </w:t>
      </w:r>
      <w:r w:rsidR="00692D44">
        <w:rPr>
          <w:b/>
        </w:rPr>
        <w:t>be</w:t>
      </w:r>
      <w:r w:rsidRPr="007E53EB">
        <w:rPr>
          <w:b/>
        </w:rPr>
        <w:t>am footprint diameters in NTN</w:t>
      </w:r>
      <w:r w:rsidR="003C5A07">
        <w:rPr>
          <w:b/>
        </w:rPr>
        <w:t xml:space="preserve">. </w:t>
      </w:r>
    </w:p>
    <w:p w14:paraId="2BE7FFE4" w14:textId="04ECCAA6" w:rsidR="00F35BBE" w:rsidRPr="007E53EB" w:rsidRDefault="00F35BBE" w:rsidP="00F35BBE">
      <w:pPr>
        <w:rPr>
          <w:b/>
          <w:lang w:val="en-GB"/>
        </w:rPr>
      </w:pPr>
      <w:r w:rsidRPr="007E53EB">
        <w:rPr>
          <w:b/>
          <w:lang w:val="en-GB"/>
        </w:rPr>
        <w:t xml:space="preserve">Proposal </w:t>
      </w:r>
      <w:r w:rsidR="00664559">
        <w:rPr>
          <w:b/>
          <w:lang w:val="en-GB"/>
        </w:rPr>
        <w:t>2</w:t>
      </w:r>
      <w:r w:rsidRPr="007E53EB">
        <w:rPr>
          <w:b/>
          <w:lang w:val="en-GB"/>
        </w:rPr>
        <w:t xml:space="preserve">: </w:t>
      </w:r>
      <w:r w:rsidR="00641D92">
        <w:rPr>
          <w:b/>
          <w:lang w:val="en-GB"/>
        </w:rPr>
        <w:t>For NTN, c</w:t>
      </w:r>
      <w:r w:rsidRPr="007E53EB">
        <w:rPr>
          <w:b/>
          <w:lang w:val="en-GB"/>
        </w:rPr>
        <w:t xml:space="preserve">onsider </w:t>
      </w:r>
      <w:r w:rsidR="00641D92">
        <w:rPr>
          <w:b/>
          <w:lang w:val="en-GB"/>
        </w:rPr>
        <w:t xml:space="preserve">the use of </w:t>
      </w:r>
      <w:r>
        <w:rPr>
          <w:b/>
          <w:lang w:val="en-GB"/>
        </w:rPr>
        <w:t>2-root</w:t>
      </w:r>
      <w:r w:rsidR="008F4DD5">
        <w:rPr>
          <w:b/>
          <w:lang w:val="en-GB"/>
        </w:rPr>
        <w:t>ed</w:t>
      </w:r>
      <w:r>
        <w:rPr>
          <w:b/>
          <w:lang w:val="en-GB"/>
        </w:rPr>
        <w:t xml:space="preserve"> preamble</w:t>
      </w:r>
      <w:r w:rsidR="00641D92">
        <w:rPr>
          <w:b/>
          <w:lang w:val="en-GB"/>
        </w:rPr>
        <w:t>s and study related PRACH occasion</w:t>
      </w:r>
      <w:r w:rsidR="0034011D">
        <w:rPr>
          <w:b/>
          <w:lang w:val="en-GB"/>
        </w:rPr>
        <w:t xml:space="preserve">s design. </w:t>
      </w:r>
    </w:p>
    <w:p w14:paraId="64FC2E59" w14:textId="7011864E" w:rsidR="005A5C55" w:rsidRDefault="006D4FC1" w:rsidP="005A5C55">
      <w:r>
        <w:rPr>
          <w:lang w:val="en-GB"/>
        </w:rPr>
        <w:t xml:space="preserve">It can also be noted that the restriction for </w:t>
      </w:r>
      <w:r w:rsidR="006A1867">
        <w:rPr>
          <w:lang w:val="en-GB"/>
        </w:rPr>
        <w:t xml:space="preserve">the </w:t>
      </w:r>
      <w:r>
        <w:rPr>
          <w:lang w:val="en-GB"/>
        </w:rPr>
        <w:t>2-root preamble cases c</w:t>
      </w:r>
      <w:r w:rsidR="00A32638">
        <w:rPr>
          <w:lang w:val="en-GB"/>
        </w:rPr>
        <w:t>ame</w:t>
      </w:r>
      <w:r>
        <w:rPr>
          <w:lang w:val="en-GB"/>
        </w:rPr>
        <w:t xml:space="preserve"> mainly from the RTD. Here the maximum differential RTD that can be supported was </w:t>
      </w:r>
      <w:r w:rsidR="005A5C55" w:rsidRPr="005A5C55">
        <w:t>684.38</w:t>
      </w:r>
      <w:r w:rsidR="005A5C55">
        <w:t xml:space="preserve"> </w:t>
      </w:r>
      <m:oMath>
        <m:r>
          <w:rPr>
            <w:rFonts w:ascii="Cambria Math" w:hAnsi="Cambria Math"/>
          </w:rPr>
          <m:t>μs</m:t>
        </m:r>
      </m:oMath>
      <w:r w:rsidR="005A5C55">
        <w:t xml:space="preserve"> (for SCS 1.25 </w:t>
      </w:r>
      <w:r w:rsidR="00BE669C">
        <w:t>k</w:t>
      </w:r>
      <w:r w:rsidR="005A5C55">
        <w:t>Hz format 2)</w:t>
      </w:r>
      <w:r w:rsidR="003D4BE2">
        <w:t xml:space="preserve">. Since some beams had differential RTD &gt; </w:t>
      </w:r>
      <w:r w:rsidR="003D4BE2" w:rsidRPr="005A5C55">
        <w:t>684.38</w:t>
      </w:r>
      <w:r w:rsidR="003D4BE2">
        <w:t xml:space="preserve"> (e.g., some ha</w:t>
      </w:r>
      <w:r w:rsidR="00BA2773">
        <w:t>ve</w:t>
      </w:r>
      <w:r w:rsidR="003D4BE2">
        <w:t xml:space="preserve"> 3.2 </w:t>
      </w:r>
      <w:proofErr w:type="spellStart"/>
      <w:r w:rsidR="003D4BE2">
        <w:t>ms</w:t>
      </w:r>
      <w:proofErr w:type="spellEnd"/>
      <w:r w:rsidR="003D4BE2">
        <w:t xml:space="preserve">), the </w:t>
      </w:r>
      <w:r w:rsidR="00A32638">
        <w:t xml:space="preserve">footprint </w:t>
      </w:r>
      <w:r w:rsidR="00356085">
        <w:t xml:space="preserve">had to be </w:t>
      </w:r>
      <w:r w:rsidR="00A32638">
        <w:t xml:space="preserve">reduced. </w:t>
      </w:r>
      <w:r w:rsidR="003008ED">
        <w:t xml:space="preserve">The maximum differential doppler was </w:t>
      </w:r>
      <w:r w:rsidR="00342F52">
        <w:t>within</w:t>
      </w:r>
      <w:r w:rsidR="003008ED">
        <w:t xml:space="preserve"> the limit (~ </w:t>
      </w:r>
      <m:oMath>
        <m:r>
          <w:rPr>
            <w:rFonts w:ascii="Cambria Math" w:hAnsi="Cambria Math"/>
          </w:rPr>
          <m:t>±</m:t>
        </m:r>
      </m:oMath>
      <w:r w:rsidR="003008ED">
        <w:t>500 kHz</w:t>
      </w:r>
      <w:r w:rsidR="00342F52">
        <w:t xml:space="preserve"> which is ½ the BW</w:t>
      </w:r>
      <w:r w:rsidR="003008ED">
        <w:t xml:space="preserve">) </w:t>
      </w:r>
      <w:r w:rsidR="000150EC">
        <w:t>for all the beams.</w:t>
      </w:r>
    </w:p>
    <w:p w14:paraId="7CA5568A" w14:textId="32B3AA6E" w:rsidR="007521E8" w:rsidRDefault="007521E8" w:rsidP="005A5C55">
      <w:r>
        <w:t xml:space="preserve">One way to increase the beam footprint even further is to allow supporting </w:t>
      </w:r>
      <w:r w:rsidR="00CA30E3">
        <w:t xml:space="preserve">differential RTD </w:t>
      </w:r>
      <w:r>
        <w:t xml:space="preserve">&gt; </w:t>
      </w:r>
      <w:r w:rsidR="00CA30E3" w:rsidRPr="005A5C55">
        <w:t>684.38</w:t>
      </w:r>
      <w:r w:rsidR="00CA30E3">
        <w:t xml:space="preserve"> </w:t>
      </w:r>
      <m:oMath>
        <m:r>
          <w:rPr>
            <w:rFonts w:ascii="Cambria Math" w:hAnsi="Cambria Math"/>
          </w:rPr>
          <m:t>μs</m:t>
        </m:r>
      </m:oMath>
      <w:r w:rsidR="00CA30E3">
        <w:t xml:space="preserve">. This can be done by defining a new format with longer symbol (and smaller </w:t>
      </w:r>
      <w:r w:rsidR="009A7056">
        <w:t xml:space="preserve">SCS). For e.g., if 3.2 </w:t>
      </w:r>
      <w:proofErr w:type="spellStart"/>
      <w:r w:rsidR="009A7056">
        <w:t>ms</w:t>
      </w:r>
      <w:proofErr w:type="spellEnd"/>
      <w:r w:rsidR="009A7056">
        <w:t xml:space="preserve"> differential RTD is to be supported, we need a symbol of 3.2 </w:t>
      </w:r>
      <w:proofErr w:type="spellStart"/>
      <w:r w:rsidR="009A7056">
        <w:t>ms</w:t>
      </w:r>
      <w:proofErr w:type="spellEnd"/>
      <w:r w:rsidR="009A7056">
        <w:t xml:space="preserve"> </w:t>
      </w:r>
      <w:r w:rsidR="00F92960">
        <w:t xml:space="preserve">and SCS of </w:t>
      </w:r>
      <w:r w:rsidR="008374E0">
        <w:t>312.5 Hz.</w:t>
      </w:r>
      <w:r w:rsidR="00E45F22">
        <w:t xml:space="preserve"> Assuming the same 839 </w:t>
      </w:r>
      <w:r w:rsidR="00463167">
        <w:t>sequence</w:t>
      </w:r>
      <w:r w:rsidR="00E45F22">
        <w:t xml:space="preserve"> length, we </w:t>
      </w:r>
      <w:r w:rsidR="00463167">
        <w:t>will</w:t>
      </w:r>
      <w:r w:rsidR="00E45F22">
        <w:t xml:space="preserve"> have </w:t>
      </w:r>
      <w:r w:rsidR="00463167">
        <w:t xml:space="preserve">a BW of ~ </w:t>
      </w:r>
      <w:r w:rsidR="006A150F">
        <w:t xml:space="preserve">262 kHz and a maximum differential </w:t>
      </w:r>
      <w:r w:rsidR="001F0D09">
        <w:t>Doppler</w:t>
      </w:r>
      <w:r w:rsidR="006A150F">
        <w:t xml:space="preserve"> of ~ 131 kHz. </w:t>
      </w:r>
    </w:p>
    <w:p w14:paraId="36B46D4B" w14:textId="2DCCA061" w:rsidR="006F36C4" w:rsidRDefault="006F36C4" w:rsidP="006F36C4">
      <w:pPr>
        <w:rPr>
          <w:lang w:val="en-GB"/>
        </w:rPr>
      </w:pPr>
      <w:r>
        <w:rPr>
          <w:lang w:val="en-GB"/>
        </w:rPr>
        <w:t>Since different beams of a satellite can have largely different differential RTD and differential Doppler, different PRACH formats are needed.</w:t>
      </w:r>
      <w:r w:rsidR="00D91351">
        <w:rPr>
          <w:lang w:val="en-GB"/>
        </w:rPr>
        <w:t xml:space="preserve"> </w:t>
      </w:r>
    </w:p>
    <w:p w14:paraId="32E1056D" w14:textId="7157B1D3" w:rsidR="006F36C4" w:rsidRDefault="006F36C4" w:rsidP="006F36C4">
      <w:pPr>
        <w:rPr>
          <w:b/>
          <w:lang w:val="en-GB"/>
        </w:rPr>
      </w:pPr>
      <w:r w:rsidRPr="006F36C4">
        <w:rPr>
          <w:b/>
          <w:lang w:val="en-GB"/>
        </w:rPr>
        <w:t xml:space="preserve">Proposal </w:t>
      </w:r>
      <w:r w:rsidR="00BA7B3F">
        <w:rPr>
          <w:b/>
          <w:lang w:val="en-GB"/>
        </w:rPr>
        <w:t>3</w:t>
      </w:r>
      <w:r w:rsidRPr="006F36C4">
        <w:rPr>
          <w:b/>
          <w:lang w:val="en-GB"/>
        </w:rPr>
        <w:t>: For NTN, support PRACH format configuration per beam.</w:t>
      </w:r>
    </w:p>
    <w:p w14:paraId="11F81FCE" w14:textId="689041A7" w:rsidR="005941FB" w:rsidRDefault="007053C0" w:rsidP="006F36C4">
      <w:pPr>
        <w:rPr>
          <w:lang w:val="en-GB"/>
        </w:rPr>
      </w:pPr>
      <w:r>
        <w:rPr>
          <w:lang w:val="en-GB"/>
        </w:rPr>
        <w:t xml:space="preserve">Resource allocation for PRACH occasions must support different satellite implementations. For </w:t>
      </w:r>
      <w:r w:rsidR="005D759A">
        <w:rPr>
          <w:lang w:val="en-GB"/>
        </w:rPr>
        <w:t>some</w:t>
      </w:r>
      <w:r>
        <w:rPr>
          <w:lang w:val="en-GB"/>
        </w:rPr>
        <w:t xml:space="preserve"> satellite implementation</w:t>
      </w:r>
      <w:r w:rsidR="005D759A">
        <w:rPr>
          <w:lang w:val="en-GB"/>
        </w:rPr>
        <w:t>s</w:t>
      </w:r>
      <w:r>
        <w:rPr>
          <w:lang w:val="en-GB"/>
        </w:rPr>
        <w:t xml:space="preserve">, </w:t>
      </w:r>
      <w:r w:rsidR="005D759A">
        <w:rPr>
          <w:lang w:val="en-GB"/>
        </w:rPr>
        <w:t xml:space="preserve">there could be a fixed mapping between a </w:t>
      </w:r>
      <w:r w:rsidR="005941FB">
        <w:rPr>
          <w:lang w:val="en-GB"/>
        </w:rPr>
        <w:t xml:space="preserve">satellite </w:t>
      </w:r>
      <w:r w:rsidR="005D759A">
        <w:rPr>
          <w:lang w:val="en-GB"/>
        </w:rPr>
        <w:t xml:space="preserve">beam and </w:t>
      </w:r>
      <w:r w:rsidR="00960AA7">
        <w:rPr>
          <w:lang w:val="en-GB"/>
        </w:rPr>
        <w:t xml:space="preserve">BWP and frequency retuning of a beam can be difficult. In some other cases, frequency of a </w:t>
      </w:r>
      <w:r w:rsidR="005941FB">
        <w:rPr>
          <w:lang w:val="en-GB"/>
        </w:rPr>
        <w:t xml:space="preserve">satellite </w:t>
      </w:r>
      <w:r w:rsidR="00960AA7">
        <w:rPr>
          <w:lang w:val="en-GB"/>
        </w:rPr>
        <w:t xml:space="preserve">beam can be readily </w:t>
      </w:r>
      <w:proofErr w:type="spellStart"/>
      <w:r w:rsidR="00960AA7">
        <w:rPr>
          <w:lang w:val="en-GB"/>
        </w:rPr>
        <w:t>tunable</w:t>
      </w:r>
      <w:proofErr w:type="spellEnd"/>
      <w:r w:rsidR="00960AA7">
        <w:rPr>
          <w:lang w:val="en-GB"/>
        </w:rPr>
        <w:t xml:space="preserve">. </w:t>
      </w:r>
      <w:r w:rsidR="005941FB">
        <w:rPr>
          <w:lang w:val="en-GB"/>
        </w:rPr>
        <w:t xml:space="preserve">Different implementations may require different allocations of PRACH frequency resource. </w:t>
      </w:r>
    </w:p>
    <w:p w14:paraId="013396D6" w14:textId="7A9119E6" w:rsidR="004C336C" w:rsidRDefault="004C336C" w:rsidP="0033192D">
      <w:pPr>
        <w:pStyle w:val="Heading2"/>
      </w:pPr>
      <w:r>
        <w:t>PRACH Occasion</w:t>
      </w:r>
    </w:p>
    <w:p w14:paraId="223A0B46" w14:textId="561F04B7" w:rsidR="00637B0B" w:rsidRDefault="00637B0B" w:rsidP="006F36C4">
      <w:pPr>
        <w:rPr>
          <w:lang w:val="en-GB"/>
        </w:rPr>
      </w:pPr>
      <w:r>
        <w:rPr>
          <w:lang w:val="en-GB"/>
        </w:rPr>
        <w:t xml:space="preserve">In the figure </w:t>
      </w:r>
      <w:r w:rsidR="00A538B2">
        <w:rPr>
          <w:lang w:val="en-GB"/>
        </w:rPr>
        <w:t>4</w:t>
      </w:r>
      <w:r>
        <w:rPr>
          <w:lang w:val="en-GB"/>
        </w:rPr>
        <w:t>, several example configurations of PRACH occasions among beams are illustrated</w:t>
      </w:r>
      <w:r w:rsidR="000501AE">
        <w:rPr>
          <w:lang w:val="en-GB"/>
        </w:rPr>
        <w:t xml:space="preserve"> assuming a fixed mapping between beam</w:t>
      </w:r>
      <w:r w:rsidR="005C6659">
        <w:rPr>
          <w:lang w:val="en-GB"/>
        </w:rPr>
        <w:t>s</w:t>
      </w:r>
      <w:r w:rsidR="000501AE">
        <w:rPr>
          <w:lang w:val="en-GB"/>
        </w:rPr>
        <w:t xml:space="preserve"> and BWP</w:t>
      </w:r>
      <w:r w:rsidR="005C6659">
        <w:rPr>
          <w:lang w:val="en-GB"/>
        </w:rPr>
        <w:t>s</w:t>
      </w:r>
      <w:r w:rsidR="000501AE">
        <w:rPr>
          <w:lang w:val="en-GB"/>
        </w:rPr>
        <w:t>. These configurations are:</w:t>
      </w:r>
    </w:p>
    <w:p w14:paraId="5511EB75" w14:textId="168DFED2"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a beam reside in the corresponding BWP of the beam.</w:t>
      </w:r>
    </w:p>
    <w:p w14:paraId="33A342B5" w14:textId="0897A656"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all multiplexed in a specific frequency region that may or may not overlap with any BWPs.</w:t>
      </w:r>
    </w:p>
    <w:p w14:paraId="3CD4EE29" w14:textId="7BDCC910" w:rsidR="000501AE" w:rsidRPr="001C71E8" w:rsidRDefault="000501AE" w:rsidP="001C71E8">
      <w:pPr>
        <w:pStyle w:val="ListParagraph"/>
        <w:numPr>
          <w:ilvl w:val="0"/>
          <w:numId w:val="47"/>
        </w:numPr>
        <w:rPr>
          <w:rFonts w:ascii="Times New Roman" w:hAnsi="Times New Roman"/>
          <w:sz w:val="20"/>
          <w:szCs w:val="20"/>
          <w:lang w:val="en-GB"/>
        </w:rPr>
      </w:pPr>
      <w:r w:rsidRPr="001C71E8">
        <w:rPr>
          <w:rFonts w:ascii="Times New Roman" w:hAnsi="Times New Roman"/>
          <w:sz w:val="20"/>
          <w:szCs w:val="20"/>
          <w:lang w:val="en-GB"/>
        </w:rPr>
        <w:t>PRACH occasions of two neighbouring BWPs may reside in an overlapping region of the two BWPs.</w:t>
      </w:r>
    </w:p>
    <w:p w14:paraId="02CFF603" w14:textId="77777777" w:rsidR="00072D60" w:rsidRDefault="000501AE" w:rsidP="00072D60">
      <w:pPr>
        <w:keepNext/>
      </w:pPr>
      <w:r>
        <w:object w:dxaOrig="8577" w:dyaOrig="4109" w14:anchorId="51781B59">
          <v:shape id="_x0000_i1027" type="#_x0000_t75" style="width:429pt;height:205.5pt" o:ole="">
            <v:imagedata r:id="rId17" o:title=""/>
          </v:shape>
          <o:OLEObject Type="Embed" ProgID="Visio.Drawing.11" ShapeID="_x0000_i1027" DrawAspect="Content" ObjectID="_1631704417" r:id="rId18"/>
        </w:object>
      </w:r>
    </w:p>
    <w:p w14:paraId="5658DBD1" w14:textId="77BC7BCC" w:rsidR="00637B0B" w:rsidRDefault="00072D60" w:rsidP="00E264AF">
      <w:pPr>
        <w:pStyle w:val="Caption"/>
        <w:jc w:val="center"/>
        <w:rPr>
          <w:lang w:val="en-GB"/>
        </w:rPr>
      </w:pPr>
      <w:r>
        <w:t xml:space="preserve">Figure </w:t>
      </w:r>
      <w:r w:rsidR="00A538B2">
        <w:rPr>
          <w:noProof/>
        </w:rPr>
        <w:t>4</w:t>
      </w:r>
      <w:r>
        <w:t>. Example of PRACH occasion configurations with respect to beam BWP.</w:t>
      </w:r>
    </w:p>
    <w:p w14:paraId="1EF6DBA9" w14:textId="77777777" w:rsidR="00E264AF" w:rsidRPr="00E264AF" w:rsidRDefault="00E264AF" w:rsidP="001C71E8">
      <w:pPr>
        <w:rPr>
          <w:lang w:val="en-GB"/>
        </w:rPr>
      </w:pPr>
      <w:r w:rsidRPr="00E264AF">
        <w:rPr>
          <w:lang w:val="en-GB"/>
        </w:rPr>
        <w:t>From the above discussion, we have the following proposal.</w:t>
      </w:r>
    </w:p>
    <w:p w14:paraId="224C1792" w14:textId="652464D8" w:rsidR="006F36C4" w:rsidRPr="001C71E8" w:rsidRDefault="001C71E8" w:rsidP="001C71E8">
      <w:pPr>
        <w:rPr>
          <w:b/>
          <w:lang w:val="en-GB"/>
        </w:rPr>
      </w:pPr>
      <w:r w:rsidRPr="001C71E8">
        <w:rPr>
          <w:b/>
          <w:lang w:val="en-GB"/>
        </w:rPr>
        <w:t xml:space="preserve">Proposal </w:t>
      </w:r>
      <w:r w:rsidR="00BA7B3F">
        <w:rPr>
          <w:b/>
          <w:lang w:val="en-GB"/>
        </w:rPr>
        <w:t>4</w:t>
      </w:r>
      <w:r w:rsidR="006519CF">
        <w:rPr>
          <w:b/>
          <w:lang w:val="en-GB"/>
        </w:rPr>
        <w:t>:</w:t>
      </w:r>
      <w:r w:rsidRPr="001C71E8">
        <w:rPr>
          <w:b/>
          <w:lang w:val="en-GB"/>
        </w:rPr>
        <w:t xml:space="preserve"> Support more flexible and beam-specific configuration of PRACH occasions. </w:t>
      </w:r>
    </w:p>
    <w:p w14:paraId="5E8C33AA" w14:textId="77777777" w:rsidR="006F36C4" w:rsidRDefault="006F36C4" w:rsidP="006F36C4"/>
    <w:p w14:paraId="7107D32C" w14:textId="5C30FDF9" w:rsidR="00601DDB" w:rsidRDefault="00AD4718" w:rsidP="005D759A">
      <w:pPr>
        <w:pStyle w:val="Heading1"/>
      </w:pPr>
      <w:r>
        <w:t>UL Timing Control</w:t>
      </w:r>
    </w:p>
    <w:p w14:paraId="3B1100E2" w14:textId="7B6F4373" w:rsidR="00AF2104" w:rsidRDefault="004C3815" w:rsidP="00981A76">
      <w:pPr>
        <w:rPr>
          <w:lang w:val="en-GB"/>
        </w:rPr>
      </w:pPr>
      <w:r>
        <w:rPr>
          <w:lang w:val="en-GB"/>
        </w:rPr>
        <w:t>In NTN,</w:t>
      </w:r>
      <w:r w:rsidRPr="004C3815">
        <w:t xml:space="preserve"> </w:t>
      </w:r>
      <w:r>
        <w:rPr>
          <w:lang w:val="en-GB"/>
        </w:rPr>
        <w:t xml:space="preserve">the RTD experienced by a UE can vary as much as </w:t>
      </w:r>
      <w:r w:rsidR="00507B38">
        <w:rPr>
          <w:lang w:val="en-GB"/>
        </w:rPr>
        <w:t>4</w:t>
      </w:r>
      <w:r>
        <w:rPr>
          <w:lang w:val="en-GB"/>
        </w:rPr>
        <w:t xml:space="preserve">0 </w:t>
      </w:r>
      <w:r w:rsidR="00507B38">
        <w:rPr>
          <w:rFonts w:ascii="Symbol" w:hAnsi="Symbol"/>
          <w:lang w:val="en-GB"/>
        </w:rPr>
        <w:t></w:t>
      </w:r>
      <w:r>
        <w:rPr>
          <w:lang w:val="en-GB"/>
        </w:rPr>
        <w:t>s</w:t>
      </w:r>
      <w:r w:rsidR="00507B38">
        <w:rPr>
          <w:lang w:val="en-GB"/>
        </w:rPr>
        <w:t>/s</w:t>
      </w:r>
      <w:r>
        <w:rPr>
          <w:lang w:val="en-GB"/>
        </w:rPr>
        <w:t xml:space="preserve"> </w:t>
      </w:r>
      <w:r w:rsidRPr="004C3815">
        <w:rPr>
          <w:lang w:val="en-GB"/>
        </w:rPr>
        <w:t xml:space="preserve">due to </w:t>
      </w:r>
      <w:r>
        <w:rPr>
          <w:lang w:val="en-GB"/>
        </w:rPr>
        <w:t>the high speed of LEO and ME</w:t>
      </w:r>
      <w:r w:rsidR="005941FB">
        <w:rPr>
          <w:lang w:val="en-GB"/>
        </w:rPr>
        <w:t>O</w:t>
      </w:r>
      <w:r>
        <w:rPr>
          <w:lang w:val="en-GB"/>
        </w:rPr>
        <w:t xml:space="preserve"> satellites.</w:t>
      </w:r>
      <w:r w:rsidR="00507B38">
        <w:rPr>
          <w:lang w:val="en-GB"/>
        </w:rPr>
        <w:t xml:space="preserve"> </w:t>
      </w:r>
      <w:r w:rsidR="00AF2104">
        <w:rPr>
          <w:lang w:val="en-GB"/>
        </w:rPr>
        <w:t xml:space="preserve">The timing control command of NR has a maximal range of 2.1 </w:t>
      </w:r>
      <w:r w:rsidR="00AF2104" w:rsidRPr="00AF2104">
        <w:rPr>
          <w:rFonts w:ascii="Symbol" w:hAnsi="Symbol"/>
          <w:lang w:val="en-GB"/>
        </w:rPr>
        <w:t></w:t>
      </w:r>
      <w:r w:rsidR="00AF2104">
        <w:rPr>
          <w:lang w:val="en-GB"/>
        </w:rPr>
        <w:t xml:space="preserve">s for 120 kHz and 1.04 </w:t>
      </w:r>
      <w:r w:rsidR="00AF2104">
        <w:rPr>
          <w:rFonts w:ascii="Symbol" w:hAnsi="Symbol"/>
          <w:lang w:val="en-GB"/>
        </w:rPr>
        <w:t></w:t>
      </w:r>
      <w:r w:rsidR="00AF2104">
        <w:rPr>
          <w:lang w:val="en-GB"/>
        </w:rPr>
        <w:t>s for 240 Hz. If only closed-loop timing control is used, a large number of timing control commands need to be sent per second.  Increasing the size of MAC-CE timing control command alone does not solve the problem: A</w:t>
      </w:r>
      <w:r w:rsidR="00507B38">
        <w:rPr>
          <w:lang w:val="en-GB"/>
        </w:rPr>
        <w:t xml:space="preserve">ssuming a one-way delay of </w:t>
      </w:r>
      <w:r w:rsidR="00AF2104">
        <w:rPr>
          <w:lang w:val="en-GB"/>
        </w:rPr>
        <w:t>2</w:t>
      </w:r>
      <w:r w:rsidR="00507B38">
        <w:rPr>
          <w:lang w:val="en-GB"/>
        </w:rPr>
        <w:t xml:space="preserve">0 </w:t>
      </w:r>
      <w:proofErr w:type="spellStart"/>
      <w:r w:rsidR="00507B38">
        <w:rPr>
          <w:lang w:val="en-GB"/>
        </w:rPr>
        <w:t>ms</w:t>
      </w:r>
      <w:proofErr w:type="spellEnd"/>
      <w:r w:rsidR="00507B38">
        <w:rPr>
          <w:lang w:val="en-GB"/>
        </w:rPr>
        <w:t xml:space="preserve">, a timing control command sent by the Network that is accurate at the time of </w:t>
      </w:r>
      <w:r w:rsidR="005C7709">
        <w:rPr>
          <w:lang w:val="en-GB"/>
        </w:rPr>
        <w:t>its transmission</w:t>
      </w:r>
      <w:r w:rsidR="00507B38">
        <w:rPr>
          <w:lang w:val="en-GB"/>
        </w:rPr>
        <w:t xml:space="preserve"> </w:t>
      </w:r>
      <w:r w:rsidR="005C7709">
        <w:rPr>
          <w:lang w:val="en-GB"/>
        </w:rPr>
        <w:t>can</w:t>
      </w:r>
      <w:r w:rsidR="00507B38">
        <w:rPr>
          <w:lang w:val="en-GB"/>
        </w:rPr>
        <w:t xml:space="preserve"> be off by 0.8 </w:t>
      </w:r>
      <w:r w:rsidR="00507B38">
        <w:rPr>
          <w:rFonts w:ascii="Symbol" w:hAnsi="Symbol"/>
          <w:lang w:val="en-GB"/>
        </w:rPr>
        <w:t></w:t>
      </w:r>
      <w:r w:rsidR="00507B38">
        <w:rPr>
          <w:lang w:val="en-GB"/>
        </w:rPr>
        <w:t>s</w:t>
      </w:r>
      <w:r w:rsidR="005C6659">
        <w:rPr>
          <w:lang w:val="en-GB"/>
        </w:rPr>
        <w:t xml:space="preserve"> at the time of its arrival</w:t>
      </w:r>
      <w:r w:rsidR="00AF2104">
        <w:rPr>
          <w:lang w:val="en-GB"/>
        </w:rPr>
        <w:t>, which is larger than the CP duration</w:t>
      </w:r>
      <w:r w:rsidR="005C7709">
        <w:rPr>
          <w:lang w:val="en-GB"/>
        </w:rPr>
        <w:t xml:space="preserve"> </w:t>
      </w:r>
      <w:r w:rsidR="00AF2104">
        <w:rPr>
          <w:lang w:val="en-GB"/>
        </w:rPr>
        <w:t>for 120 kHz SCS</w:t>
      </w:r>
      <w:r w:rsidR="005C7709">
        <w:rPr>
          <w:lang w:val="en-GB"/>
        </w:rPr>
        <w:t xml:space="preserve">, 0.69 </w:t>
      </w:r>
      <w:r w:rsidR="005C7709" w:rsidRPr="005C7709">
        <w:rPr>
          <w:rFonts w:ascii="Symbol" w:hAnsi="Symbol"/>
          <w:lang w:val="en-GB"/>
        </w:rPr>
        <w:t></w:t>
      </w:r>
      <w:r w:rsidR="005C7709">
        <w:rPr>
          <w:lang w:val="en-GB"/>
        </w:rPr>
        <w:t>s</w:t>
      </w:r>
      <w:r w:rsidR="00AF2104">
        <w:rPr>
          <w:lang w:val="en-GB"/>
        </w:rPr>
        <w:t xml:space="preserve">. </w:t>
      </w:r>
    </w:p>
    <w:p w14:paraId="767B9DFE" w14:textId="77777777" w:rsidR="002F5D7F" w:rsidRDefault="002F5D7F" w:rsidP="00981A76">
      <w:pPr>
        <w:rPr>
          <w:lang w:val="en-GB"/>
        </w:rPr>
      </w:pPr>
    </w:p>
    <w:p w14:paraId="4903385E" w14:textId="1D04C418" w:rsidR="006519CF" w:rsidRPr="006519CF" w:rsidRDefault="00AF2104" w:rsidP="00981A76">
      <w:pPr>
        <w:rPr>
          <w:b/>
          <w:lang w:val="en-GB"/>
        </w:rPr>
      </w:pPr>
      <w:r w:rsidRPr="006519CF">
        <w:rPr>
          <w:b/>
          <w:lang w:val="en-GB"/>
        </w:rPr>
        <w:t>Observation</w:t>
      </w:r>
      <w:r w:rsidR="006519CF" w:rsidRPr="006519CF">
        <w:rPr>
          <w:b/>
          <w:lang w:val="en-GB"/>
        </w:rPr>
        <w:t xml:space="preserve"> </w:t>
      </w:r>
      <w:r w:rsidR="002F5D7F">
        <w:rPr>
          <w:b/>
          <w:lang w:val="en-GB"/>
        </w:rPr>
        <w:t>3</w:t>
      </w:r>
      <w:r w:rsidR="006519CF">
        <w:rPr>
          <w:b/>
          <w:lang w:val="en-GB"/>
        </w:rPr>
        <w:t>:</w:t>
      </w:r>
      <w:r w:rsidRPr="006519CF">
        <w:rPr>
          <w:b/>
          <w:lang w:val="en-GB"/>
        </w:rPr>
        <w:t xml:space="preserve"> </w:t>
      </w:r>
      <w:r w:rsidR="006519CF" w:rsidRPr="006519CF">
        <w:rPr>
          <w:b/>
          <w:lang w:val="en-GB"/>
        </w:rPr>
        <w:t>NR closed-loop timing control mechanism is not sufficient for NTN.</w:t>
      </w:r>
    </w:p>
    <w:p w14:paraId="474B7999" w14:textId="761B440D" w:rsidR="006519CF" w:rsidRDefault="006519CF" w:rsidP="00981A76">
      <w:pPr>
        <w:rPr>
          <w:lang w:val="en-GB"/>
        </w:rPr>
      </w:pPr>
      <w:r>
        <w:rPr>
          <w:lang w:val="en-GB"/>
        </w:rPr>
        <w:t xml:space="preserve">To solve the </w:t>
      </w:r>
      <w:r w:rsidR="00072D60">
        <w:rPr>
          <w:lang w:val="en-GB"/>
        </w:rPr>
        <w:t xml:space="preserve">UL </w:t>
      </w:r>
      <w:r>
        <w:rPr>
          <w:lang w:val="en-GB"/>
        </w:rPr>
        <w:t>timing problem, open-loop UL timing control must be required.</w:t>
      </w:r>
    </w:p>
    <w:p w14:paraId="3D919FB1" w14:textId="17644009" w:rsidR="006519CF" w:rsidRPr="006519CF" w:rsidRDefault="006519CF" w:rsidP="00981A76">
      <w:pPr>
        <w:rPr>
          <w:b/>
          <w:lang w:val="en-GB"/>
        </w:rPr>
      </w:pPr>
      <w:bookmarkStart w:id="6" w:name="_Hlk4619854"/>
      <w:r w:rsidRPr="006519CF">
        <w:rPr>
          <w:b/>
          <w:lang w:val="en-GB"/>
        </w:rPr>
        <w:t xml:space="preserve">Proposal </w:t>
      </w:r>
      <w:r w:rsidR="00BA7B3F">
        <w:rPr>
          <w:b/>
          <w:lang w:val="en-GB"/>
        </w:rPr>
        <w:t>5</w:t>
      </w:r>
      <w:r w:rsidRPr="006519CF">
        <w:rPr>
          <w:b/>
          <w:lang w:val="en-GB"/>
        </w:rPr>
        <w:t>: In NTN, UE autonomous open-loop timing control is required.</w:t>
      </w:r>
    </w:p>
    <w:bookmarkEnd w:id="6"/>
    <w:p w14:paraId="696917BB" w14:textId="65825B7E" w:rsidR="00163C3A" w:rsidRDefault="00735B91" w:rsidP="00981A76">
      <w:pPr>
        <w:rPr>
          <w:lang w:val="en-GB"/>
        </w:rPr>
      </w:pPr>
      <w:r>
        <w:rPr>
          <w:lang w:val="en-GB"/>
        </w:rPr>
        <w:t xml:space="preserve">Both the closed- and open-loop timing controls are needed. Note that even for UEs with GPS, there </w:t>
      </w:r>
      <w:r w:rsidR="00163C3A">
        <w:rPr>
          <w:lang w:val="en-GB"/>
        </w:rPr>
        <w:t>may</w:t>
      </w:r>
      <w:r>
        <w:rPr>
          <w:lang w:val="en-GB"/>
        </w:rPr>
        <w:t xml:space="preserve"> still</w:t>
      </w:r>
      <w:r w:rsidR="00163C3A">
        <w:rPr>
          <w:lang w:val="en-GB"/>
        </w:rPr>
        <w:t xml:space="preserve"> be</w:t>
      </w:r>
      <w:r>
        <w:rPr>
          <w:lang w:val="en-GB"/>
        </w:rPr>
        <w:t xml:space="preserve"> an uncertainty on the delay </w:t>
      </w:r>
      <w:r w:rsidR="00163C3A">
        <w:rPr>
          <w:lang w:val="en-GB"/>
        </w:rPr>
        <w:t xml:space="preserve">variation </w:t>
      </w:r>
      <w:r>
        <w:rPr>
          <w:lang w:val="en-GB"/>
        </w:rPr>
        <w:t>between the satellite and gateway</w:t>
      </w:r>
      <w:r w:rsidR="00163C3A">
        <w:rPr>
          <w:lang w:val="en-GB"/>
        </w:rPr>
        <w:t xml:space="preserve">. </w:t>
      </w:r>
      <w:r>
        <w:rPr>
          <w:lang w:val="en-GB"/>
        </w:rPr>
        <w:t xml:space="preserve">  </w:t>
      </w:r>
      <w:r w:rsidR="00163C3A">
        <w:rPr>
          <w:lang w:val="en-GB"/>
        </w:rPr>
        <w:t xml:space="preserve">When both timing control mechanisms work together, A UE determines </w:t>
      </w:r>
      <w:r w:rsidR="00163C3A" w:rsidRPr="00D733E8">
        <w:rPr>
          <w:lang w:val="en-GB"/>
        </w:rPr>
        <w:t xml:space="preserve">its timing offset </w:t>
      </w:r>
      <w:r w:rsidR="00163C3A">
        <w:rPr>
          <w:lang w:val="en-GB"/>
        </w:rPr>
        <w:t xml:space="preserve">for target </w:t>
      </w:r>
      <w:r w:rsidR="00163C3A" w:rsidRPr="00D733E8">
        <w:rPr>
          <w:lang w:val="en-GB"/>
        </w:rPr>
        <w:t xml:space="preserve">time t(n+1) </w:t>
      </w:r>
      <w:r w:rsidR="00163C3A">
        <w:rPr>
          <w:lang w:val="en-GB"/>
        </w:rPr>
        <w:t>based on timing offset for target timing t(n) as</w:t>
      </w:r>
    </w:p>
    <w:p w14:paraId="0E0E5EEC" w14:textId="6BDDB6D0" w:rsidR="00163C3A" w:rsidRDefault="00163C3A" w:rsidP="00163C3A">
      <w:pPr>
        <w:jc w:val="center"/>
        <w:rPr>
          <w:lang w:val="en-GB"/>
        </w:rPr>
      </w:pPr>
      <m:oMath>
        <m:r>
          <w:rPr>
            <w:rFonts w:ascii="Cambria Math" w:hAnsi="Cambria Math"/>
            <w:lang w:val="en-GB"/>
          </w:rPr>
          <m:t>T</m:t>
        </m:r>
        <m:d>
          <m:dPr>
            <m:ctrlPr>
              <w:rPr>
                <w:rFonts w:ascii="Cambria Math" w:hAnsi="Cambria Math"/>
                <w:i/>
                <w:lang w:val="en-GB"/>
              </w:rPr>
            </m:ctrlPr>
          </m:dPr>
          <m:e>
            <m:r>
              <w:rPr>
                <w:rFonts w:ascii="Cambria Math" w:hAnsi="Cambria Math"/>
                <w:lang w:val="en-GB"/>
              </w:rPr>
              <m:t>n+1</m:t>
            </m:r>
          </m:e>
        </m:d>
        <m:r>
          <w:rPr>
            <w:rFonts w:ascii="Cambria Math" w:hAnsi="Cambria Math"/>
            <w:lang w:val="en-GB"/>
          </w:rPr>
          <m:t>=T</m:t>
        </m:r>
        <m:d>
          <m:dPr>
            <m:ctrlPr>
              <w:rPr>
                <w:rFonts w:ascii="Cambria Math" w:hAnsi="Cambria Math"/>
                <w:i/>
                <w:lang w:val="en-GB"/>
              </w:rPr>
            </m:ctrlPr>
          </m:dPr>
          <m:e>
            <m:r>
              <w:rPr>
                <w:rFonts w:ascii="Cambria Math" w:hAnsi="Cambria Math"/>
                <w:lang w:val="en-GB"/>
              </w:rPr>
              <m:t>n</m:t>
            </m:r>
          </m:e>
        </m:d>
        <m:r>
          <w:rPr>
            <w:rFonts w:ascii="Cambria Math" w:hAnsi="Cambria Math"/>
            <w:lang w:val="en-GB"/>
          </w:rPr>
          <m:t>+Do+Dc</m:t>
        </m:r>
      </m:oMath>
      <w:r>
        <w:rPr>
          <w:lang w:val="en-GB"/>
        </w:rPr>
        <w:t xml:space="preserve">         </w:t>
      </w:r>
      <w:r>
        <w:rPr>
          <w:lang w:val="en-GB"/>
        </w:rPr>
        <w:tab/>
      </w:r>
      <w:r>
        <w:rPr>
          <w:lang w:val="en-GB"/>
        </w:rPr>
        <w:tab/>
        <w:t>(1)</w:t>
      </w:r>
    </w:p>
    <w:p w14:paraId="127E45F0" w14:textId="77777777" w:rsidR="00163C3A" w:rsidRDefault="00163C3A" w:rsidP="00981A76">
      <w:pPr>
        <w:rPr>
          <w:lang w:val="en-GB"/>
        </w:rPr>
      </w:pPr>
      <w:r>
        <w:rPr>
          <w:lang w:val="en-GB"/>
        </w:rPr>
        <w:t xml:space="preserve">where T(n) and T(n+1) are the timing offset for target timing t(n) and t(n+1), respectively; Do and Dc are the timing adjustment based on the open and closed-loop, respectively. </w:t>
      </w:r>
    </w:p>
    <w:p w14:paraId="202FE861" w14:textId="2CB763D9" w:rsidR="00072D60" w:rsidRDefault="00072D60" w:rsidP="00981A76">
      <w:pPr>
        <w:rPr>
          <w:lang w:val="en-GB"/>
        </w:rPr>
      </w:pPr>
      <w:r>
        <w:rPr>
          <w:lang w:val="en-GB"/>
        </w:rPr>
        <w:t xml:space="preserve">To apply the open-loop timing control, UEs need to predict the UL timing. Depending on if geo-location information is available to </w:t>
      </w:r>
      <w:r w:rsidR="005C7709">
        <w:rPr>
          <w:lang w:val="en-GB"/>
        </w:rPr>
        <w:t>a</w:t>
      </w:r>
      <w:r>
        <w:rPr>
          <w:lang w:val="en-GB"/>
        </w:rPr>
        <w:t xml:space="preserve"> UE, different ways can be applied.</w:t>
      </w:r>
    </w:p>
    <w:p w14:paraId="0FDC1F8C" w14:textId="7DF12F66" w:rsidR="006519CF" w:rsidRDefault="006519CF" w:rsidP="00072D60">
      <w:pPr>
        <w:pStyle w:val="ListParagraph"/>
        <w:numPr>
          <w:ilvl w:val="0"/>
          <w:numId w:val="48"/>
        </w:numPr>
        <w:rPr>
          <w:rFonts w:ascii="Times New Roman" w:hAnsi="Times New Roman"/>
          <w:sz w:val="20"/>
          <w:szCs w:val="20"/>
          <w:lang w:val="en-GB"/>
        </w:rPr>
      </w:pPr>
      <w:r w:rsidRPr="00072D60">
        <w:rPr>
          <w:rFonts w:ascii="Times New Roman" w:hAnsi="Times New Roman"/>
          <w:sz w:val="20"/>
          <w:szCs w:val="20"/>
          <w:lang w:val="en-GB"/>
        </w:rPr>
        <w:t xml:space="preserve">For UEs with GPS, based on the ephemeris information broadcasted by the satellite, RTD </w:t>
      </w:r>
      <w:r w:rsidR="00163C3A">
        <w:rPr>
          <w:rFonts w:ascii="Times New Roman" w:hAnsi="Times New Roman"/>
          <w:sz w:val="20"/>
          <w:szCs w:val="20"/>
          <w:lang w:val="en-GB"/>
        </w:rPr>
        <w:t xml:space="preserve">variation </w:t>
      </w:r>
      <w:r w:rsidR="00072D60" w:rsidRPr="00072D60">
        <w:rPr>
          <w:rFonts w:ascii="Times New Roman" w:hAnsi="Times New Roman"/>
          <w:sz w:val="20"/>
          <w:szCs w:val="20"/>
          <w:lang w:val="en-GB"/>
        </w:rPr>
        <w:t xml:space="preserve">at any given time </w:t>
      </w:r>
      <w:r w:rsidRPr="00072D60">
        <w:rPr>
          <w:rFonts w:ascii="Times New Roman" w:hAnsi="Times New Roman"/>
          <w:sz w:val="20"/>
          <w:szCs w:val="20"/>
          <w:lang w:val="en-GB"/>
        </w:rPr>
        <w:t>can be estimated. As such, these UEs can predict the timing change and apply in the UL transmission accordingly.</w:t>
      </w:r>
    </w:p>
    <w:p w14:paraId="59430FC8" w14:textId="77777777" w:rsidR="00735B91" w:rsidRPr="00072D60" w:rsidRDefault="00735B91" w:rsidP="00735B91">
      <w:pPr>
        <w:pStyle w:val="ListParagraph"/>
        <w:rPr>
          <w:rFonts w:ascii="Times New Roman" w:hAnsi="Times New Roman"/>
          <w:sz w:val="20"/>
          <w:szCs w:val="20"/>
          <w:lang w:val="en-GB"/>
        </w:rPr>
      </w:pPr>
    </w:p>
    <w:p w14:paraId="0A17D7E4" w14:textId="3EF41482" w:rsidR="00D733E8" w:rsidRPr="00D733E8" w:rsidRDefault="006519CF" w:rsidP="00B05539">
      <w:pPr>
        <w:pStyle w:val="ListParagraph"/>
        <w:numPr>
          <w:ilvl w:val="0"/>
          <w:numId w:val="48"/>
        </w:numPr>
        <w:rPr>
          <w:rFonts w:ascii="Times New Roman" w:hAnsi="Times New Roman"/>
          <w:sz w:val="20"/>
          <w:szCs w:val="20"/>
          <w:lang w:val="en-GB"/>
        </w:rPr>
      </w:pPr>
      <w:r w:rsidRPr="00D733E8">
        <w:rPr>
          <w:rFonts w:ascii="Times New Roman" w:hAnsi="Times New Roman"/>
          <w:sz w:val="20"/>
          <w:szCs w:val="20"/>
          <w:lang w:val="en-GB"/>
        </w:rPr>
        <w:t xml:space="preserve">For UEs without GPS, it can </w:t>
      </w:r>
      <w:r w:rsidR="00072D60" w:rsidRPr="00D733E8">
        <w:rPr>
          <w:rFonts w:ascii="Times New Roman" w:hAnsi="Times New Roman"/>
          <w:sz w:val="20"/>
          <w:szCs w:val="20"/>
          <w:lang w:val="en-GB"/>
        </w:rPr>
        <w:t xml:space="preserve">estimate the RTD variation rate of 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Although the RTD of a UE at the edge of a beam can largely differ from that </w:t>
      </w:r>
      <w:r w:rsidR="005C7709"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the beam </w:t>
      </w:r>
      <w:proofErr w:type="spellStart"/>
      <w:r w:rsidR="00072D60" w:rsidRPr="00D733E8">
        <w:rPr>
          <w:rFonts w:ascii="Times New Roman" w:hAnsi="Times New Roman"/>
          <w:sz w:val="20"/>
          <w:szCs w:val="20"/>
          <w:lang w:val="en-GB"/>
        </w:rPr>
        <w:t>center</w:t>
      </w:r>
      <w:proofErr w:type="spellEnd"/>
      <w:r w:rsidR="00072D60" w:rsidRPr="00D733E8">
        <w:rPr>
          <w:rFonts w:ascii="Times New Roman" w:hAnsi="Times New Roman"/>
          <w:sz w:val="20"/>
          <w:szCs w:val="20"/>
          <w:lang w:val="en-GB"/>
        </w:rPr>
        <w:t xml:space="preserve">, the variation rates seen by the two UEs are close. To allow UEs without GPS to estimate the RTD variation rate, the velocity of the satellite </w:t>
      </w:r>
      <w:r w:rsidR="00E264AF" w:rsidRPr="00D733E8">
        <w:rPr>
          <w:rFonts w:ascii="Times New Roman" w:hAnsi="Times New Roman"/>
          <w:sz w:val="20"/>
          <w:szCs w:val="20"/>
          <w:lang w:val="en-GB"/>
        </w:rPr>
        <w:t xml:space="preserve">on the direction </w:t>
      </w:r>
      <w:proofErr w:type="gramStart"/>
      <w:r w:rsidR="00E264AF" w:rsidRPr="00D733E8">
        <w:rPr>
          <w:rFonts w:ascii="Times New Roman" w:hAnsi="Times New Roman"/>
          <w:sz w:val="20"/>
          <w:szCs w:val="20"/>
          <w:lang w:val="en-GB"/>
        </w:rPr>
        <w:t xml:space="preserve">of </w:t>
      </w:r>
      <w:r w:rsidR="00072D60" w:rsidRPr="00D733E8">
        <w:rPr>
          <w:rFonts w:ascii="Times New Roman" w:hAnsi="Times New Roman"/>
          <w:sz w:val="20"/>
          <w:szCs w:val="20"/>
          <w:lang w:val="en-GB"/>
        </w:rPr>
        <w:t xml:space="preserve"> the</w:t>
      </w:r>
      <w:proofErr w:type="gramEnd"/>
      <w:r w:rsidR="00072D60" w:rsidRPr="00D733E8">
        <w:rPr>
          <w:rFonts w:ascii="Times New Roman" w:hAnsi="Times New Roman"/>
          <w:sz w:val="20"/>
          <w:szCs w:val="20"/>
          <w:lang w:val="en-GB"/>
        </w:rPr>
        <w:t xml:space="preserve"> beam</w:t>
      </w:r>
      <w:r w:rsidR="00E264AF" w:rsidRPr="00D733E8">
        <w:rPr>
          <w:rFonts w:ascii="Times New Roman" w:hAnsi="Times New Roman"/>
          <w:sz w:val="20"/>
          <w:szCs w:val="20"/>
          <w:lang w:val="en-GB"/>
        </w:rPr>
        <w:t xml:space="preserve"> </w:t>
      </w:r>
      <w:proofErr w:type="spellStart"/>
      <w:r w:rsidR="00E264AF" w:rsidRPr="00D733E8">
        <w:rPr>
          <w:rFonts w:ascii="Times New Roman" w:hAnsi="Times New Roman"/>
          <w:sz w:val="20"/>
          <w:szCs w:val="20"/>
          <w:lang w:val="en-GB"/>
        </w:rPr>
        <w:t>center</w:t>
      </w:r>
      <w:proofErr w:type="spellEnd"/>
      <w:r w:rsidR="00E264AF" w:rsidRPr="00D733E8">
        <w:rPr>
          <w:rFonts w:ascii="Times New Roman" w:hAnsi="Times New Roman"/>
          <w:sz w:val="20"/>
          <w:szCs w:val="20"/>
          <w:lang w:val="en-GB"/>
        </w:rPr>
        <w:t xml:space="preserve"> to satellite, </w:t>
      </w:r>
      <w:r w:rsidR="00E264AF" w:rsidRPr="00D733E8">
        <w:rPr>
          <w:rFonts w:ascii="Times New Roman" w:hAnsi="Times New Roman"/>
          <w:i/>
          <w:sz w:val="20"/>
          <w:szCs w:val="20"/>
          <w:lang w:val="en-GB"/>
        </w:rPr>
        <w:t>v</w:t>
      </w:r>
      <w:r w:rsidR="00464F1D" w:rsidRPr="00D733E8">
        <w:rPr>
          <w:rFonts w:ascii="Times New Roman" w:hAnsi="Times New Roman"/>
          <w:i/>
          <w:sz w:val="20"/>
          <w:szCs w:val="20"/>
          <w:lang w:val="en-GB"/>
        </w:rPr>
        <w:t>*</w:t>
      </w:r>
      <w:r w:rsidR="00E264AF" w:rsidRPr="00D733E8">
        <w:rPr>
          <w:rFonts w:ascii="Times New Roman" w:hAnsi="Times New Roman"/>
          <w:sz w:val="20"/>
          <w:szCs w:val="20"/>
          <w:lang w:val="en-GB"/>
        </w:rPr>
        <w:t>cos(</w:t>
      </w:r>
      <w:r w:rsidR="00E264AF" w:rsidRPr="00D733E8">
        <w:rPr>
          <w:rFonts w:ascii="Symbol" w:hAnsi="Symbol"/>
          <w:sz w:val="20"/>
          <w:szCs w:val="20"/>
          <w:lang w:val="en-GB"/>
        </w:rPr>
        <w:t></w:t>
      </w:r>
      <w:r w:rsidR="00E264AF" w:rsidRPr="00D733E8">
        <w:rPr>
          <w:rFonts w:ascii="Times New Roman" w:hAnsi="Times New Roman"/>
          <w:sz w:val="20"/>
          <w:szCs w:val="20"/>
          <w:lang w:val="en-GB"/>
        </w:rPr>
        <w:t xml:space="preserve">) in Figure </w:t>
      </w:r>
      <w:r w:rsidR="0046086B">
        <w:rPr>
          <w:rFonts w:ascii="Times New Roman" w:hAnsi="Times New Roman"/>
          <w:sz w:val="20"/>
          <w:szCs w:val="20"/>
          <w:lang w:val="en-GB"/>
        </w:rPr>
        <w:t>5</w:t>
      </w:r>
      <w:r w:rsidR="00E264AF" w:rsidRPr="00D733E8">
        <w:rPr>
          <w:rFonts w:ascii="Times New Roman" w:hAnsi="Times New Roman"/>
          <w:sz w:val="20"/>
          <w:szCs w:val="20"/>
          <w:lang w:val="en-GB"/>
        </w:rPr>
        <w:t>, needs to be</w:t>
      </w:r>
      <w:r w:rsidR="00464F1D" w:rsidRPr="00D733E8">
        <w:rPr>
          <w:rFonts w:ascii="Times New Roman" w:hAnsi="Times New Roman"/>
          <w:sz w:val="20"/>
          <w:szCs w:val="20"/>
          <w:lang w:val="en-GB"/>
        </w:rPr>
        <w:t xml:space="preserve"> broadcasted</w:t>
      </w:r>
      <w:r w:rsidR="00E264AF" w:rsidRPr="00D733E8">
        <w:rPr>
          <w:rFonts w:ascii="Times New Roman" w:hAnsi="Times New Roman"/>
          <w:sz w:val="20"/>
          <w:szCs w:val="20"/>
          <w:lang w:val="en-GB"/>
        </w:rPr>
        <w:t xml:space="preserve"> to UEs. This is equivalent to</w:t>
      </w:r>
      <w:r w:rsidR="00464F1D" w:rsidRPr="00D733E8">
        <w:rPr>
          <w:rFonts w:ascii="Times New Roman" w:hAnsi="Times New Roman"/>
          <w:sz w:val="20"/>
          <w:szCs w:val="20"/>
          <w:lang w:val="en-GB"/>
        </w:rPr>
        <w:t xml:space="preserve"> the</w:t>
      </w:r>
      <w:r w:rsidR="00E264AF" w:rsidRPr="00D733E8">
        <w:rPr>
          <w:rFonts w:ascii="Times New Roman" w:hAnsi="Times New Roman"/>
          <w:sz w:val="20"/>
          <w:szCs w:val="20"/>
          <w:lang w:val="en-GB"/>
        </w:rPr>
        <w:t xml:space="preserve"> broadcasting of the Doppler shifts of the beam </w:t>
      </w:r>
      <w:proofErr w:type="spellStart"/>
      <w:r w:rsidR="00E264AF" w:rsidRPr="00D733E8">
        <w:rPr>
          <w:rFonts w:ascii="Times New Roman" w:hAnsi="Times New Roman"/>
          <w:sz w:val="20"/>
          <w:szCs w:val="20"/>
          <w:lang w:val="en-GB"/>
        </w:rPr>
        <w:t>cente</w:t>
      </w:r>
      <w:r w:rsidR="00464F1D" w:rsidRPr="00D733E8">
        <w:rPr>
          <w:rFonts w:ascii="Times New Roman" w:hAnsi="Times New Roman"/>
          <w:sz w:val="20"/>
          <w:szCs w:val="20"/>
          <w:lang w:val="en-GB"/>
        </w:rPr>
        <w:t>r</w:t>
      </w:r>
      <w:proofErr w:type="spellEnd"/>
      <w:r w:rsidR="00464F1D" w:rsidRPr="00D733E8">
        <w:rPr>
          <w:rFonts w:ascii="Times New Roman" w:hAnsi="Times New Roman"/>
          <w:sz w:val="20"/>
          <w:szCs w:val="20"/>
          <w:lang w:val="en-GB"/>
        </w:rPr>
        <w:t xml:space="preserve"> </w:t>
      </w:r>
      <w:r w:rsidR="00E264AF" w:rsidRPr="00D733E8">
        <w:rPr>
          <w:rFonts w:ascii="Times New Roman" w:hAnsi="Times New Roman"/>
          <w:sz w:val="20"/>
          <w:szCs w:val="20"/>
          <w:lang w:val="en-GB"/>
        </w:rPr>
        <w:t>as in Proposal 1</w:t>
      </w:r>
      <w:r w:rsidR="00163C3A">
        <w:rPr>
          <w:rFonts w:ascii="Times New Roman" w:hAnsi="Times New Roman"/>
          <w:sz w:val="20"/>
          <w:szCs w:val="20"/>
          <w:lang w:val="en-GB"/>
        </w:rPr>
        <w:t xml:space="preserve">. Based on the timing variation </w:t>
      </w:r>
      <w:proofErr w:type="gramStart"/>
      <w:r w:rsidR="00163C3A">
        <w:rPr>
          <w:rFonts w:ascii="Times New Roman" w:hAnsi="Times New Roman"/>
          <w:sz w:val="20"/>
          <w:szCs w:val="20"/>
          <w:lang w:val="en-GB"/>
        </w:rPr>
        <w:t xml:space="preserve">rate, </w:t>
      </w:r>
      <w:r w:rsidR="00D733E8" w:rsidRPr="00D733E8">
        <w:rPr>
          <w:lang w:val="en-GB"/>
        </w:rPr>
        <w:t xml:space="preserve"> </w:t>
      </w:r>
      <w:r w:rsidR="00163C3A">
        <w:rPr>
          <w:lang w:val="en-GB"/>
        </w:rPr>
        <w:t>2</w:t>
      </w:r>
      <w:proofErr w:type="gramEnd"/>
      <w:r w:rsidR="00163C3A">
        <w:rPr>
          <w:lang w:val="en-GB"/>
        </w:rPr>
        <w:t>*</w:t>
      </w:r>
      <w:r w:rsidR="00163C3A" w:rsidRPr="00D733E8">
        <w:rPr>
          <w:rFonts w:ascii="Times New Roman" w:hAnsi="Times New Roman"/>
          <w:i/>
          <w:sz w:val="20"/>
          <w:szCs w:val="20"/>
          <w:lang w:val="en-GB"/>
        </w:rPr>
        <w:t>v*</w:t>
      </w:r>
      <w:r w:rsidR="00163C3A" w:rsidRPr="00D733E8">
        <w:rPr>
          <w:rFonts w:ascii="Times New Roman" w:hAnsi="Times New Roman"/>
          <w:sz w:val="20"/>
          <w:szCs w:val="20"/>
          <w:lang w:val="en-GB"/>
        </w:rPr>
        <w:t>cos(</w:t>
      </w:r>
      <w:r w:rsidR="00163C3A" w:rsidRPr="00D733E8">
        <w:rPr>
          <w:rFonts w:ascii="Symbol" w:hAnsi="Symbol"/>
          <w:sz w:val="20"/>
          <w:szCs w:val="20"/>
          <w:lang w:val="en-GB"/>
        </w:rPr>
        <w:t></w:t>
      </w:r>
      <w:r w:rsidR="00163C3A" w:rsidRPr="00D733E8">
        <w:rPr>
          <w:rFonts w:ascii="Times New Roman" w:hAnsi="Times New Roman"/>
          <w:sz w:val="20"/>
          <w:szCs w:val="20"/>
          <w:lang w:val="en-GB"/>
        </w:rPr>
        <w:t>)</w:t>
      </w:r>
      <w:r w:rsidR="00163C3A">
        <w:rPr>
          <w:rFonts w:ascii="Times New Roman" w:hAnsi="Times New Roman"/>
          <w:sz w:val="20"/>
          <w:szCs w:val="20"/>
          <w:lang w:val="en-GB"/>
        </w:rPr>
        <w:t>/c, a UE determines its open-loop timing adjustment between time t(n) to t(n+1) as</w:t>
      </w:r>
    </w:p>
    <w:p w14:paraId="3C2C1EF4" w14:textId="77777777" w:rsidR="00D733E8" w:rsidRPr="00D733E8" w:rsidRDefault="00D733E8" w:rsidP="00D733E8">
      <w:pPr>
        <w:pStyle w:val="ListParagraph"/>
        <w:rPr>
          <w:rFonts w:ascii="Times New Roman" w:hAnsi="Times New Roman"/>
          <w:sz w:val="20"/>
          <w:szCs w:val="20"/>
          <w:lang w:val="en-GB"/>
        </w:rPr>
      </w:pPr>
    </w:p>
    <w:p w14:paraId="50BB284E" w14:textId="0D69631B" w:rsidR="00D733E8" w:rsidRDefault="00163C3A" w:rsidP="00735B91">
      <w:pPr>
        <w:pStyle w:val="ListParagraph"/>
        <w:jc w:val="center"/>
        <w:rPr>
          <w:rFonts w:ascii="Times New Roman" w:hAnsi="Times New Roman"/>
          <w:sz w:val="20"/>
          <w:szCs w:val="20"/>
          <w:vertAlign w:val="subscript"/>
          <w:lang w:val="en-GB"/>
        </w:rPr>
      </w:pPr>
      <m:oMath>
        <m:r>
          <w:rPr>
            <w:rFonts w:ascii="Cambria Math" w:hAnsi="Cambria Math"/>
            <w:sz w:val="20"/>
            <w:szCs w:val="20"/>
            <w:lang w:val="en-GB"/>
          </w:rPr>
          <m:t>Do=2vcos</m:t>
        </m:r>
        <m:d>
          <m:dPr>
            <m:ctrlPr>
              <w:rPr>
                <w:rFonts w:ascii="Cambria Math" w:hAnsi="Cambria Math"/>
                <w:i/>
                <w:sz w:val="20"/>
                <w:szCs w:val="20"/>
                <w:lang w:val="en-GB"/>
              </w:rPr>
            </m:ctrlPr>
          </m:dPr>
          <m:e>
            <m:r>
              <w:rPr>
                <w:rFonts w:ascii="Cambria Math" w:hAnsi="Cambria Math"/>
                <w:sz w:val="20"/>
                <w:szCs w:val="20"/>
                <w:lang w:val="en-GB"/>
              </w:rPr>
              <m:t>α</m:t>
            </m:r>
          </m:e>
        </m:d>
        <m:d>
          <m:dPr>
            <m:begChr m:val="["/>
            <m:endChr m:val="]"/>
            <m:ctrlPr>
              <w:rPr>
                <w:rFonts w:ascii="Cambria Math" w:hAnsi="Cambria Math"/>
                <w:i/>
                <w:sz w:val="20"/>
                <w:szCs w:val="20"/>
                <w:lang w:val="en-GB"/>
              </w:rPr>
            </m:ctrlPr>
          </m:dPr>
          <m:e>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n+1</m:t>
                </m:r>
              </m:e>
            </m:d>
            <m:r>
              <w:rPr>
                <w:rFonts w:ascii="Cambria Math" w:hAnsi="Cambria Math"/>
                <w:sz w:val="20"/>
                <w:szCs w:val="20"/>
                <w:lang w:val="en-GB"/>
              </w:rPr>
              <m:t>-t</m:t>
            </m:r>
            <m:d>
              <m:dPr>
                <m:ctrlPr>
                  <w:rPr>
                    <w:rFonts w:ascii="Cambria Math" w:hAnsi="Cambria Math"/>
                    <w:i/>
                    <w:sz w:val="20"/>
                    <w:szCs w:val="20"/>
                    <w:lang w:val="en-GB"/>
                  </w:rPr>
                </m:ctrlPr>
              </m:dPr>
              <m:e>
                <m:r>
                  <w:rPr>
                    <w:rFonts w:ascii="Cambria Math" w:hAnsi="Cambria Math"/>
                    <w:sz w:val="20"/>
                    <w:szCs w:val="20"/>
                    <w:lang w:val="en-GB"/>
                  </w:rPr>
                  <m:t>n</m:t>
                </m:r>
              </m:e>
            </m:d>
          </m:e>
        </m:d>
        <m:r>
          <w:rPr>
            <w:rFonts w:ascii="Cambria Math" w:hAnsi="Cambria Math"/>
            <w:sz w:val="20"/>
            <w:szCs w:val="20"/>
            <w:lang w:val="en-GB"/>
          </w:rPr>
          <m:t>/c</m:t>
        </m:r>
      </m:oMath>
      <w:r>
        <w:rPr>
          <w:rFonts w:ascii="Times New Roman" w:hAnsi="Times New Roman"/>
          <w:sz w:val="20"/>
          <w:szCs w:val="20"/>
          <w:lang w:val="en-GB"/>
        </w:rPr>
        <w:t xml:space="preserve">    (2)</w:t>
      </w:r>
    </w:p>
    <w:p w14:paraId="3B0F8267" w14:textId="77777777" w:rsidR="00735B91" w:rsidRDefault="00735B91" w:rsidP="00735B91">
      <w:pPr>
        <w:pStyle w:val="ListParagraph"/>
        <w:jc w:val="center"/>
        <w:rPr>
          <w:rFonts w:ascii="Times New Roman" w:hAnsi="Times New Roman"/>
          <w:sz w:val="20"/>
          <w:szCs w:val="20"/>
          <w:vertAlign w:val="subscript"/>
          <w:lang w:val="en-GB"/>
        </w:rPr>
      </w:pPr>
    </w:p>
    <w:p w14:paraId="270DC352" w14:textId="560AFB4D" w:rsidR="00D733E8" w:rsidRDefault="00D733E8" w:rsidP="00D733E8">
      <w:pPr>
        <w:pStyle w:val="ListParagraph"/>
        <w:rPr>
          <w:rFonts w:ascii="Times New Roman" w:hAnsi="Times New Roman"/>
          <w:sz w:val="20"/>
          <w:szCs w:val="20"/>
          <w:lang w:val="en-GB"/>
        </w:rPr>
      </w:pPr>
    </w:p>
    <w:p w14:paraId="7E57A2FE" w14:textId="77777777" w:rsidR="00D733E8" w:rsidRPr="00E264AF" w:rsidRDefault="00D733E8" w:rsidP="00D733E8">
      <w:pPr>
        <w:pStyle w:val="ListParagraph"/>
        <w:rPr>
          <w:rFonts w:ascii="Times New Roman" w:hAnsi="Times New Roman"/>
          <w:sz w:val="20"/>
          <w:szCs w:val="20"/>
          <w:lang w:val="en-GB"/>
        </w:rPr>
      </w:pPr>
    </w:p>
    <w:p w14:paraId="54B06ACC" w14:textId="77777777" w:rsidR="00464F1D" w:rsidRDefault="00E264AF" w:rsidP="00464F1D">
      <w:pPr>
        <w:keepNext/>
        <w:jc w:val="center"/>
      </w:pPr>
      <w:r>
        <w:rPr>
          <w:noProof/>
        </w:rPr>
        <w:drawing>
          <wp:inline distT="0" distB="0" distL="0" distR="0" wp14:anchorId="5F30FD5B" wp14:editId="6D15F808">
            <wp:extent cx="2598420" cy="2171700"/>
            <wp:effectExtent l="0" t="0" r="0" b="0"/>
            <wp:docPr id="6" name="Picture 5">
              <a:extLst xmlns:a="http://schemas.openxmlformats.org/drawingml/2006/main">
                <a:ext uri="{FF2B5EF4-FFF2-40B4-BE49-F238E27FC236}">
                  <a16:creationId xmlns:a16="http://schemas.microsoft.com/office/drawing/2014/main" id="{424A972B-B579-4B5A-A893-D5F5FE71E1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424A972B-B579-4B5A-A893-D5F5FE71E124}"/>
                        </a:ext>
                      </a:extLst>
                    </pic:cNvPr>
                    <pic:cNvPicPr>
                      <a:picLocks noChangeAspect="1"/>
                    </pic:cNvPicPr>
                  </pic:nvPicPr>
                  <pic:blipFill>
                    <a:blip r:embed="rId19"/>
                    <a:stretch>
                      <a:fillRect/>
                    </a:stretch>
                  </pic:blipFill>
                  <pic:spPr>
                    <a:xfrm>
                      <a:off x="0" y="0"/>
                      <a:ext cx="2598996" cy="2172181"/>
                    </a:xfrm>
                    <a:prstGeom prst="rect">
                      <a:avLst/>
                    </a:prstGeom>
                  </pic:spPr>
                </pic:pic>
              </a:graphicData>
            </a:graphic>
          </wp:inline>
        </w:drawing>
      </w:r>
    </w:p>
    <w:p w14:paraId="4D11D72A" w14:textId="4BA39793" w:rsidR="00072D60" w:rsidRDefault="00464F1D" w:rsidP="00464F1D">
      <w:pPr>
        <w:pStyle w:val="Caption"/>
        <w:jc w:val="center"/>
        <w:rPr>
          <w:lang w:val="en-GB"/>
        </w:rPr>
      </w:pPr>
      <w:r>
        <w:t xml:space="preserve">Figure </w:t>
      </w:r>
      <w:r w:rsidR="0046086B">
        <w:rPr>
          <w:noProof/>
        </w:rPr>
        <w:t>5</w:t>
      </w:r>
      <w:r>
        <w:t>. Satellite velocity seen at the beam center.</w:t>
      </w:r>
    </w:p>
    <w:p w14:paraId="4F7883FF" w14:textId="77777777" w:rsidR="00E264AF" w:rsidRDefault="00E264AF" w:rsidP="00981A76">
      <w:pPr>
        <w:rPr>
          <w:lang w:val="en-GB"/>
        </w:rPr>
      </w:pPr>
    </w:p>
    <w:p w14:paraId="4B46438D" w14:textId="79EE8758" w:rsidR="00464F1D" w:rsidRDefault="00464F1D" w:rsidP="00981A76">
      <w:pPr>
        <w:rPr>
          <w:lang w:val="en-GB"/>
        </w:rPr>
      </w:pPr>
      <w:r>
        <w:rPr>
          <w:lang w:val="en-GB"/>
        </w:rPr>
        <w:t xml:space="preserve">In Figure </w:t>
      </w:r>
      <w:r w:rsidR="0046086B">
        <w:rPr>
          <w:lang w:val="en-GB"/>
        </w:rPr>
        <w:t>6</w:t>
      </w:r>
      <w:r>
        <w:rPr>
          <w:lang w:val="en-GB"/>
        </w:rPr>
        <w:t>, the actual timing with the closed- and open-loop UL timing control mechanisms together is compared with the ideal timing.</w:t>
      </w:r>
    </w:p>
    <w:p w14:paraId="35C65A7B" w14:textId="77777777" w:rsidR="00464F1D" w:rsidRDefault="00464F1D" w:rsidP="00464F1D">
      <w:pPr>
        <w:keepNext/>
        <w:jc w:val="center"/>
      </w:pPr>
      <w:r>
        <w:rPr>
          <w:noProof/>
          <w:lang w:val="en-GB"/>
        </w:rPr>
        <w:drawing>
          <wp:inline distT="0" distB="0" distL="0" distR="0" wp14:anchorId="1D233395" wp14:editId="0C8B825C">
            <wp:extent cx="3505200" cy="1807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18426" cy="1814029"/>
                    </a:xfrm>
                    <a:prstGeom prst="rect">
                      <a:avLst/>
                    </a:prstGeom>
                    <a:noFill/>
                  </pic:spPr>
                </pic:pic>
              </a:graphicData>
            </a:graphic>
          </wp:inline>
        </w:drawing>
      </w:r>
    </w:p>
    <w:p w14:paraId="6ACFAA3F" w14:textId="461D7EE9" w:rsidR="00464F1D" w:rsidRDefault="00464F1D" w:rsidP="00464F1D">
      <w:pPr>
        <w:pStyle w:val="Caption"/>
        <w:jc w:val="center"/>
      </w:pPr>
      <w:r>
        <w:t xml:space="preserve">Figure </w:t>
      </w:r>
      <w:r w:rsidR="0046086B">
        <w:t>6</w:t>
      </w:r>
      <w:r w:rsidR="009E478C">
        <w:t xml:space="preserve"> </w:t>
      </w:r>
      <w:r>
        <w:t xml:space="preserve">Example UL timing </w:t>
      </w:r>
      <w:r w:rsidR="006D350D">
        <w:t>with both open- and closed-loop Ul timing control: two UL timing control commands from networks causing two suddenly larger timing change.</w:t>
      </w:r>
    </w:p>
    <w:p w14:paraId="0DD2CB5A" w14:textId="77777777" w:rsidR="00097EF2" w:rsidRPr="00097EF2" w:rsidRDefault="00097EF2" w:rsidP="00097EF2"/>
    <w:p w14:paraId="4D0C968E" w14:textId="1787A718" w:rsidR="004F26C2" w:rsidRDefault="00B77AD5" w:rsidP="00981A76">
      <w:pPr>
        <w:rPr>
          <w:lang w:val="en-GB"/>
        </w:rPr>
      </w:pPr>
      <w:r>
        <w:rPr>
          <w:lang w:val="en-GB"/>
        </w:rPr>
        <w:t xml:space="preserve">To support the open-loop timing control, </w:t>
      </w:r>
      <w:r w:rsidR="004F26C2">
        <w:rPr>
          <w:lang w:val="en-GB"/>
        </w:rPr>
        <w:t xml:space="preserve">timing variation rate must be known to the UE. </w:t>
      </w:r>
      <w:proofErr w:type="gramStart"/>
      <w:r w:rsidR="00383502">
        <w:rPr>
          <w:lang w:val="en-GB"/>
        </w:rPr>
        <w:t>Hence</w:t>
      </w:r>
      <w:proofErr w:type="gramEnd"/>
      <w:r w:rsidR="00383502">
        <w:rPr>
          <w:lang w:val="en-GB"/>
        </w:rPr>
        <w:t xml:space="preserve"> we have the following proposal</w:t>
      </w:r>
    </w:p>
    <w:p w14:paraId="4A21F851" w14:textId="24DFBA1F" w:rsidR="00383502" w:rsidRPr="00485964" w:rsidRDefault="00383502" w:rsidP="00981A76">
      <w:pPr>
        <w:rPr>
          <w:b/>
          <w:lang w:val="en-GB"/>
        </w:rPr>
      </w:pPr>
      <w:r w:rsidRPr="00485964">
        <w:rPr>
          <w:b/>
          <w:lang w:val="en-GB"/>
        </w:rPr>
        <w:t xml:space="preserve">Proposal </w:t>
      </w:r>
      <w:r w:rsidR="00BA7B3F">
        <w:rPr>
          <w:b/>
          <w:lang w:val="en-GB"/>
        </w:rPr>
        <w:t>6</w:t>
      </w:r>
      <w:r w:rsidR="00485964">
        <w:rPr>
          <w:b/>
          <w:lang w:val="en-GB"/>
        </w:rPr>
        <w:t xml:space="preserve">: </w:t>
      </w:r>
      <w:r w:rsidRPr="00485964">
        <w:rPr>
          <w:b/>
          <w:lang w:val="en-GB"/>
        </w:rPr>
        <w:t>For LEO</w:t>
      </w:r>
      <w:r w:rsidR="00246CC4" w:rsidRPr="00485964">
        <w:rPr>
          <w:b/>
          <w:lang w:val="en-GB"/>
        </w:rPr>
        <w:t xml:space="preserve"> and MEO</w:t>
      </w:r>
      <w:r w:rsidRPr="00485964">
        <w:rPr>
          <w:b/>
          <w:lang w:val="en-GB"/>
        </w:rPr>
        <w:t xml:space="preserve"> satellites, support broadcasting </w:t>
      </w:r>
      <w:r w:rsidR="00246CC4" w:rsidRPr="00485964">
        <w:rPr>
          <w:b/>
          <w:lang w:val="en-GB"/>
        </w:rPr>
        <w:t xml:space="preserve">of </w:t>
      </w:r>
      <w:r w:rsidR="00406B0E" w:rsidRPr="00485964">
        <w:rPr>
          <w:b/>
          <w:lang w:val="en-GB"/>
        </w:rPr>
        <w:t xml:space="preserve">parameter(s) to indicate the </w:t>
      </w:r>
      <w:r w:rsidR="00F321D0" w:rsidRPr="00485964">
        <w:rPr>
          <w:b/>
          <w:lang w:val="en-GB"/>
        </w:rPr>
        <w:t>timing variation rate</w:t>
      </w:r>
      <w:r w:rsidR="00830C71" w:rsidRPr="00485964">
        <w:rPr>
          <w:b/>
          <w:lang w:val="en-GB"/>
        </w:rPr>
        <w:t>, e.g.,</w:t>
      </w:r>
      <w:r w:rsidR="00F321D0" w:rsidRPr="00485964">
        <w:rPr>
          <w:b/>
          <w:lang w:val="en-GB"/>
        </w:rPr>
        <w:t xml:space="preserve"> </w:t>
      </w:r>
      <w:r w:rsidR="00830C71" w:rsidRPr="00485964">
        <w:rPr>
          <w:b/>
          <w:lang w:val="en-GB"/>
        </w:rPr>
        <w:t>v*cos</w:t>
      </w:r>
      <w:r w:rsidR="00830C71" w:rsidRPr="00485964">
        <w:rPr>
          <w:rFonts w:ascii="Symbol" w:hAnsi="Symbol"/>
          <w:b/>
          <w:lang w:val="en-GB"/>
        </w:rPr>
        <w:t></w:t>
      </w:r>
      <w:r w:rsidR="00830C71" w:rsidRPr="00485964">
        <w:rPr>
          <w:b/>
          <w:lang w:val="en-GB"/>
        </w:rPr>
        <w:t xml:space="preserve"> where v is the satellite velocity and </w:t>
      </w:r>
      <w:r w:rsidR="00830C71" w:rsidRPr="00485964">
        <w:rPr>
          <w:rFonts w:ascii="Symbol" w:hAnsi="Symbol"/>
          <w:b/>
          <w:lang w:val="en-GB"/>
        </w:rPr>
        <w:t></w:t>
      </w:r>
      <w:r w:rsidR="00830C71" w:rsidRPr="00485964">
        <w:rPr>
          <w:b/>
          <w:lang w:val="en-GB"/>
        </w:rPr>
        <w:t xml:space="preserve"> is the angle between satellite mo</w:t>
      </w:r>
      <w:r w:rsidR="00485964" w:rsidRPr="00485964">
        <w:rPr>
          <w:b/>
          <w:lang w:val="en-GB"/>
        </w:rPr>
        <w:t xml:space="preserve">ving direction and the line connecting satellite and the beam </w:t>
      </w:r>
      <w:proofErr w:type="spellStart"/>
      <w:r w:rsidR="00485964" w:rsidRPr="00485964">
        <w:rPr>
          <w:b/>
          <w:lang w:val="en-GB"/>
        </w:rPr>
        <w:t>center</w:t>
      </w:r>
      <w:proofErr w:type="spellEnd"/>
      <w:r w:rsidR="00485964" w:rsidRPr="00485964">
        <w:rPr>
          <w:b/>
          <w:lang w:val="en-GB"/>
        </w:rPr>
        <w:t>.</w:t>
      </w:r>
    </w:p>
    <w:p w14:paraId="3AE0AC15" w14:textId="77777777" w:rsidR="004F26C2" w:rsidRDefault="004F26C2" w:rsidP="00981A76">
      <w:pPr>
        <w:rPr>
          <w:lang w:val="en-GB"/>
        </w:rPr>
      </w:pPr>
    </w:p>
    <w:p w14:paraId="557C9E3C" w14:textId="76F89E5F" w:rsidR="006D350D" w:rsidRDefault="006D350D" w:rsidP="00981A76">
      <w:pPr>
        <w:rPr>
          <w:lang w:val="en-GB"/>
        </w:rPr>
      </w:pPr>
      <w:r>
        <w:rPr>
          <w:lang w:val="en-GB"/>
        </w:rPr>
        <w:t xml:space="preserve">Depending on the beam footprint, the residual timing change rate can be still </w:t>
      </w:r>
      <w:r w:rsidR="00C75880">
        <w:rPr>
          <w:lang w:val="en-GB"/>
        </w:rPr>
        <w:t xml:space="preserve">large enough so that </w:t>
      </w:r>
      <w:r>
        <w:rPr>
          <w:lang w:val="en-GB"/>
        </w:rPr>
        <w:t xml:space="preserve">periodic timing control commands </w:t>
      </w:r>
      <w:r w:rsidR="00C75880">
        <w:rPr>
          <w:lang w:val="en-GB"/>
        </w:rPr>
        <w:t xml:space="preserve">needs to be sent </w:t>
      </w:r>
      <w:r>
        <w:rPr>
          <w:lang w:val="en-GB"/>
        </w:rPr>
        <w:t>to many UEs. From the above discussion we have the following proposals.</w:t>
      </w:r>
    </w:p>
    <w:p w14:paraId="1BBCB76F" w14:textId="6E552EB8" w:rsidR="00DC4ADC" w:rsidRPr="00097EF2" w:rsidRDefault="006D350D" w:rsidP="00097EF2">
      <w:pPr>
        <w:rPr>
          <w:b/>
          <w:lang w:val="en-GB"/>
        </w:rPr>
      </w:pPr>
      <w:r w:rsidRPr="00225438">
        <w:rPr>
          <w:b/>
          <w:lang w:val="en-GB"/>
        </w:rPr>
        <w:t xml:space="preserve">Proposal </w:t>
      </w:r>
      <w:r w:rsidR="00BA7B3F">
        <w:rPr>
          <w:b/>
          <w:lang w:val="en-GB"/>
        </w:rPr>
        <w:t>7</w:t>
      </w:r>
      <w:r w:rsidRPr="00225438">
        <w:rPr>
          <w:b/>
          <w:lang w:val="en-GB"/>
        </w:rPr>
        <w:t xml:space="preserve">: </w:t>
      </w:r>
      <w:r w:rsidR="005C7709">
        <w:rPr>
          <w:b/>
          <w:lang w:val="en-GB"/>
        </w:rPr>
        <w:t xml:space="preserve">Consider </w:t>
      </w:r>
      <w:r w:rsidR="00225438" w:rsidRPr="00225438">
        <w:rPr>
          <w:b/>
          <w:lang w:val="en-GB"/>
        </w:rPr>
        <w:t>group-common DCI for UL timing control in NTN.</w:t>
      </w:r>
    </w:p>
    <w:p w14:paraId="08C3D28C" w14:textId="5B70F436" w:rsidR="00E7496D" w:rsidRDefault="00E7496D" w:rsidP="00E7496D">
      <w:pPr>
        <w:rPr>
          <w:b/>
          <w:lang w:val="en-GB"/>
        </w:rPr>
      </w:pPr>
    </w:p>
    <w:p w14:paraId="1755B408" w14:textId="4CA4865E" w:rsidR="00E7496D" w:rsidRPr="00975C8A" w:rsidRDefault="00E7496D" w:rsidP="00E7496D">
      <w:pPr>
        <w:pStyle w:val="Heading1"/>
      </w:pPr>
      <w:r>
        <w:t>UL SRS for Timing and Frequency Control</w:t>
      </w:r>
    </w:p>
    <w:p w14:paraId="3A9F8A15" w14:textId="2931C47A" w:rsidR="00762531" w:rsidRDefault="00E7496D" w:rsidP="001E4FCB">
      <w:pPr>
        <w:pStyle w:val="Default"/>
        <w:rPr>
          <w:sz w:val="20"/>
          <w:szCs w:val="20"/>
          <w:lang w:val="en-GB"/>
        </w:rPr>
      </w:pPr>
      <w:r>
        <w:rPr>
          <w:sz w:val="20"/>
          <w:szCs w:val="20"/>
          <w:lang w:val="en-GB"/>
        </w:rPr>
        <w:t xml:space="preserve">From the above it is clear that fast closed-loop control is required for UL timing and frequency. For instance, even with open-loop timing control, differential timing variation within a beam may still be in the order of a few up to 10 us/s and differential Doppler </w:t>
      </w:r>
      <w:r w:rsidR="008072DE" w:rsidRPr="008072DE">
        <w:rPr>
          <w:sz w:val="20"/>
          <w:szCs w:val="20"/>
          <w:lang w:val="en-GB"/>
        </w:rPr>
        <w:t xml:space="preserve">for a </w:t>
      </w:r>
      <w:r w:rsidR="008072DE">
        <w:rPr>
          <w:sz w:val="20"/>
          <w:szCs w:val="20"/>
          <w:lang w:val="en-GB"/>
        </w:rPr>
        <w:t xml:space="preserve">nadir beam of radius 50 km of a </w:t>
      </w:r>
      <w:r w:rsidR="008072DE" w:rsidRPr="008072DE">
        <w:rPr>
          <w:sz w:val="20"/>
          <w:szCs w:val="20"/>
          <w:lang w:val="en-GB"/>
        </w:rPr>
        <w:t xml:space="preserve">satellite </w:t>
      </w:r>
      <w:r w:rsidR="008072DE">
        <w:rPr>
          <w:sz w:val="20"/>
          <w:szCs w:val="20"/>
          <w:lang w:val="en-GB"/>
        </w:rPr>
        <w:t xml:space="preserve">at </w:t>
      </w:r>
      <w:r w:rsidR="008072DE" w:rsidRPr="008072DE">
        <w:rPr>
          <w:sz w:val="20"/>
          <w:szCs w:val="20"/>
          <w:lang w:val="en-GB"/>
        </w:rPr>
        <w:t>1200 km</w:t>
      </w:r>
      <w:r w:rsidR="008072DE">
        <w:rPr>
          <w:sz w:val="20"/>
          <w:szCs w:val="20"/>
          <w:lang w:val="en-GB"/>
        </w:rPr>
        <w:t xml:space="preserve"> altitude</w:t>
      </w:r>
      <w:r w:rsidR="008072DE" w:rsidRPr="008072DE">
        <w:rPr>
          <w:sz w:val="20"/>
          <w:szCs w:val="20"/>
          <w:lang w:val="en-GB"/>
        </w:rPr>
        <w:t xml:space="preserve"> </w:t>
      </w:r>
      <w:r w:rsidR="008072DE">
        <w:rPr>
          <w:sz w:val="20"/>
          <w:szCs w:val="20"/>
          <w:lang w:val="en-GB"/>
        </w:rPr>
        <w:t>can be 30 kHz at 30 G carrier.</w:t>
      </w:r>
    </w:p>
    <w:p w14:paraId="754B42E6" w14:textId="635275CD" w:rsidR="00485096" w:rsidRDefault="00485096" w:rsidP="001E4FCB">
      <w:pPr>
        <w:pStyle w:val="Default"/>
        <w:rPr>
          <w:sz w:val="20"/>
          <w:szCs w:val="20"/>
          <w:lang w:val="en-GB"/>
        </w:rPr>
      </w:pPr>
    </w:p>
    <w:p w14:paraId="6D7E2A3D" w14:textId="215FC3B5" w:rsidR="00485096" w:rsidRDefault="00485096" w:rsidP="001E4FCB">
      <w:pPr>
        <w:pStyle w:val="Default"/>
        <w:rPr>
          <w:sz w:val="20"/>
          <w:szCs w:val="20"/>
          <w:lang w:val="en-GB"/>
        </w:rPr>
      </w:pPr>
      <w:r>
        <w:rPr>
          <w:sz w:val="20"/>
          <w:szCs w:val="20"/>
          <w:lang w:val="en-GB"/>
        </w:rPr>
        <w:t>Relying only on UL data transmissions for timing and frequency estimation is insufficient. There could be time durations without UL data transmissions. Also, data transmissions with large timing and frequency offset can cause large interference to other UE’s communications. Hence for the purpose of timing and frequency control it is desirable to use SRS, which is more robust than data and with controlled resource allocation.</w:t>
      </w:r>
    </w:p>
    <w:p w14:paraId="71E3B5D7" w14:textId="47C3F70F" w:rsidR="00485096" w:rsidRDefault="00485096" w:rsidP="001E4FCB">
      <w:pPr>
        <w:pStyle w:val="Default"/>
        <w:rPr>
          <w:sz w:val="20"/>
          <w:szCs w:val="20"/>
          <w:lang w:val="en-GB"/>
        </w:rPr>
      </w:pPr>
    </w:p>
    <w:p w14:paraId="43E9E153" w14:textId="1F95B15C" w:rsidR="00485096" w:rsidRDefault="00485096" w:rsidP="001E4FCB">
      <w:pPr>
        <w:pStyle w:val="Default"/>
        <w:rPr>
          <w:sz w:val="20"/>
          <w:szCs w:val="20"/>
          <w:lang w:val="en-GB"/>
        </w:rPr>
      </w:pPr>
      <w:r>
        <w:rPr>
          <w:sz w:val="20"/>
          <w:szCs w:val="20"/>
          <w:lang w:val="en-GB"/>
        </w:rPr>
        <w:t>Existing NR SRS may not be suitable for the timing and frequency measurements in NTN:</w:t>
      </w:r>
    </w:p>
    <w:p w14:paraId="63234B71" w14:textId="27BDCADA" w:rsidR="00485096" w:rsidRDefault="00485096" w:rsidP="00984217">
      <w:pPr>
        <w:pStyle w:val="Default"/>
        <w:numPr>
          <w:ilvl w:val="0"/>
          <w:numId w:val="50"/>
        </w:numPr>
        <w:rPr>
          <w:sz w:val="20"/>
          <w:szCs w:val="20"/>
          <w:lang w:val="en-GB"/>
        </w:rPr>
      </w:pPr>
      <w:r>
        <w:rPr>
          <w:sz w:val="20"/>
          <w:szCs w:val="20"/>
          <w:lang w:val="en-GB"/>
        </w:rPr>
        <w:t>NR SRS does not support efficient detection of large frequency offset.</w:t>
      </w:r>
    </w:p>
    <w:p w14:paraId="74572602" w14:textId="371BD3DB" w:rsidR="00984217" w:rsidRDefault="00485096" w:rsidP="00984217">
      <w:pPr>
        <w:pStyle w:val="Default"/>
        <w:numPr>
          <w:ilvl w:val="0"/>
          <w:numId w:val="50"/>
        </w:numPr>
        <w:rPr>
          <w:sz w:val="20"/>
          <w:szCs w:val="20"/>
          <w:lang w:val="en-GB"/>
        </w:rPr>
      </w:pPr>
      <w:r>
        <w:rPr>
          <w:sz w:val="20"/>
          <w:szCs w:val="20"/>
          <w:lang w:val="en-GB"/>
        </w:rPr>
        <w:t xml:space="preserve">NR SRS does not support detection of large timing offset. </w:t>
      </w:r>
      <w:r w:rsidR="00984217">
        <w:rPr>
          <w:sz w:val="20"/>
          <w:szCs w:val="20"/>
          <w:lang w:val="en-GB"/>
        </w:rPr>
        <w:t>For instance, there is an ambiguity in timing of offset of half of a symbol duration with comb 2 and a quarter of a symbol duration with comb-4.</w:t>
      </w:r>
    </w:p>
    <w:p w14:paraId="71AB2F80" w14:textId="77777777" w:rsidR="00984217" w:rsidRDefault="00984217" w:rsidP="001E4FCB">
      <w:pPr>
        <w:pStyle w:val="Default"/>
        <w:rPr>
          <w:sz w:val="20"/>
          <w:szCs w:val="20"/>
          <w:lang w:val="en-GB"/>
        </w:rPr>
      </w:pPr>
    </w:p>
    <w:p w14:paraId="4338CE8D" w14:textId="5A117CCA" w:rsidR="00503B04" w:rsidRDefault="00984217" w:rsidP="001E4FCB">
      <w:pPr>
        <w:pStyle w:val="Default"/>
        <w:rPr>
          <w:sz w:val="20"/>
          <w:szCs w:val="20"/>
          <w:lang w:val="en-GB"/>
        </w:rPr>
      </w:pPr>
      <w:r>
        <w:rPr>
          <w:sz w:val="20"/>
          <w:szCs w:val="20"/>
          <w:lang w:val="en-GB"/>
        </w:rPr>
        <w:t>Consequently, we have the following proposal.</w:t>
      </w:r>
    </w:p>
    <w:p w14:paraId="6BED4342" w14:textId="083A3EDB" w:rsidR="00984217" w:rsidRDefault="00984217" w:rsidP="001E4FCB">
      <w:pPr>
        <w:pStyle w:val="Default"/>
        <w:rPr>
          <w:sz w:val="20"/>
          <w:szCs w:val="20"/>
          <w:lang w:val="en-GB"/>
        </w:rPr>
      </w:pPr>
    </w:p>
    <w:p w14:paraId="57375A68" w14:textId="534A308E" w:rsidR="00984217" w:rsidRPr="003D38B6" w:rsidRDefault="00984217" w:rsidP="00984217">
      <w:pPr>
        <w:rPr>
          <w:b/>
          <w:lang w:val="en-GB"/>
        </w:rPr>
      </w:pPr>
      <w:r w:rsidRPr="003D38B6">
        <w:rPr>
          <w:b/>
          <w:lang w:val="en-GB"/>
        </w:rPr>
        <w:t xml:space="preserve">Proposal </w:t>
      </w:r>
      <w:r w:rsidR="00BA7B3F">
        <w:rPr>
          <w:b/>
          <w:lang w:val="en-GB"/>
        </w:rPr>
        <w:t>8</w:t>
      </w:r>
      <w:r w:rsidRPr="003D38B6">
        <w:rPr>
          <w:b/>
          <w:lang w:val="en-GB"/>
        </w:rPr>
        <w:t>: Study enhanced SRS design to support efficient estimation of large timing and frequency offset.</w:t>
      </w:r>
    </w:p>
    <w:p w14:paraId="3D89FF0C" w14:textId="77777777" w:rsidR="00984217" w:rsidRDefault="00984217" w:rsidP="001E4FCB">
      <w:pPr>
        <w:pStyle w:val="Default"/>
        <w:rPr>
          <w:sz w:val="20"/>
          <w:szCs w:val="20"/>
          <w:lang w:val="en-GB"/>
        </w:rPr>
      </w:pPr>
    </w:p>
    <w:p w14:paraId="170EA13F" w14:textId="77777777" w:rsidR="00503B04" w:rsidRDefault="00503B04" w:rsidP="001E4FCB">
      <w:pPr>
        <w:pStyle w:val="Default"/>
        <w:rPr>
          <w:sz w:val="20"/>
          <w:szCs w:val="20"/>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443C837A" w:rsidR="00225438" w:rsidRDefault="00225438" w:rsidP="00225438">
      <w:pPr>
        <w:rPr>
          <w:lang w:val="en-GB"/>
        </w:rPr>
      </w:pPr>
      <w:r>
        <w:rPr>
          <w:lang w:val="en-GB"/>
        </w:rPr>
        <w:t xml:space="preserve">We discussed RACH related issues and UL timing control for NTN. </w:t>
      </w:r>
      <w:r w:rsidR="00041A36">
        <w:rPr>
          <w:lang w:val="en-GB"/>
        </w:rPr>
        <w:t>On</w:t>
      </w:r>
      <w:r>
        <w:rPr>
          <w:lang w:val="en-GB"/>
        </w:rPr>
        <w:t xml:space="preserve"> RACH, we have the following </w:t>
      </w:r>
      <w:r w:rsidR="002A1BDD">
        <w:rPr>
          <w:lang w:val="en-GB"/>
        </w:rPr>
        <w:t xml:space="preserve">observations and </w:t>
      </w:r>
      <w:r>
        <w:rPr>
          <w:lang w:val="en-GB"/>
        </w:rPr>
        <w:t>proposals:</w:t>
      </w:r>
    </w:p>
    <w:p w14:paraId="19AAD558" w14:textId="4760BFBB" w:rsidR="00225438" w:rsidRDefault="00225438" w:rsidP="00225438">
      <w:pPr>
        <w:tabs>
          <w:tab w:val="left" w:pos="1752"/>
        </w:tabs>
        <w:rPr>
          <w:b/>
          <w:i/>
          <w:lang w:val="en-GB"/>
        </w:rPr>
      </w:pPr>
      <w:r w:rsidRPr="00452CC3">
        <w:rPr>
          <w:b/>
          <w:i/>
          <w:u w:val="single"/>
          <w:lang w:val="en-GB"/>
        </w:rPr>
        <w:t>Proposal 1</w:t>
      </w:r>
      <w:r w:rsidRPr="00225438">
        <w:rPr>
          <w:b/>
          <w:i/>
          <w:lang w:val="en-GB"/>
        </w:rPr>
        <w:t xml:space="preserve">: For NTN operations that don’t require UE’s knowledge of geolocation, support periodically broadcasting of the </w:t>
      </w:r>
      <w:r w:rsidR="001F7056">
        <w:rPr>
          <w:b/>
          <w:i/>
          <w:lang w:val="en-GB"/>
        </w:rPr>
        <w:t xml:space="preserve">common </w:t>
      </w:r>
      <w:r w:rsidRPr="00225438">
        <w:rPr>
          <w:b/>
          <w:i/>
          <w:lang w:val="en-GB"/>
        </w:rPr>
        <w:t xml:space="preserve">round-trip delay and Doppler frequency </w:t>
      </w:r>
      <w:r w:rsidR="001F7056">
        <w:rPr>
          <w:b/>
          <w:i/>
          <w:lang w:val="en-GB"/>
        </w:rPr>
        <w:t>of a beam</w:t>
      </w:r>
      <w:r w:rsidR="009962C9">
        <w:rPr>
          <w:b/>
          <w:i/>
          <w:lang w:val="en-GB"/>
        </w:rPr>
        <w:t>.</w:t>
      </w:r>
    </w:p>
    <w:p w14:paraId="2BB9726A" w14:textId="5ACA84ED" w:rsidR="009962C9" w:rsidRPr="00225438" w:rsidRDefault="009962C9" w:rsidP="009962C9">
      <w:pPr>
        <w:rPr>
          <w:b/>
          <w:i/>
          <w:lang w:val="en-GB"/>
        </w:rPr>
      </w:pPr>
      <w:r w:rsidRPr="009962C9">
        <w:rPr>
          <w:b/>
          <w:i/>
          <w:lang w:val="en-GB"/>
        </w:rPr>
        <w:t>Observation 1: New PRACH design is needed when the product of maximal delay and maximal frequency offset is greater than 0.5.</w:t>
      </w:r>
    </w:p>
    <w:p w14:paraId="106C3B0F" w14:textId="2AF12EC9" w:rsidR="000642C9" w:rsidRPr="0033192D" w:rsidRDefault="000642C9" w:rsidP="000642C9">
      <w:pPr>
        <w:rPr>
          <w:b/>
          <w:i/>
        </w:rPr>
      </w:pPr>
      <w:r w:rsidRPr="0033192D">
        <w:rPr>
          <w:b/>
          <w:i/>
        </w:rPr>
        <w:t xml:space="preserve">Observation </w:t>
      </w:r>
      <w:r w:rsidR="009962C9">
        <w:rPr>
          <w:b/>
          <w:i/>
        </w:rPr>
        <w:t>2</w:t>
      </w:r>
      <w:r w:rsidRPr="0033192D">
        <w:rPr>
          <w:b/>
          <w:i/>
        </w:rPr>
        <w:t xml:space="preserve">: </w:t>
      </w:r>
      <w:r w:rsidR="00BA7B3F">
        <w:rPr>
          <w:b/>
          <w:i/>
        </w:rPr>
        <w:t xml:space="preserve">The </w:t>
      </w:r>
      <w:r w:rsidRPr="0033192D">
        <w:rPr>
          <w:b/>
          <w:i/>
        </w:rPr>
        <w:t>2-</w:t>
      </w:r>
      <w:proofErr w:type="gramStart"/>
      <w:r w:rsidRPr="0033192D">
        <w:rPr>
          <w:b/>
          <w:i/>
        </w:rPr>
        <w:t>root</w:t>
      </w:r>
      <w:r w:rsidR="00E20038">
        <w:rPr>
          <w:b/>
          <w:i/>
        </w:rPr>
        <w:t>ed</w:t>
      </w:r>
      <w:r w:rsidRPr="0033192D">
        <w:rPr>
          <w:b/>
          <w:i/>
        </w:rPr>
        <w:t xml:space="preserve">  PRACH</w:t>
      </w:r>
      <w:proofErr w:type="gramEnd"/>
      <w:r w:rsidRPr="0033192D">
        <w:rPr>
          <w:b/>
          <w:i/>
        </w:rPr>
        <w:t xml:space="preserve"> </w:t>
      </w:r>
      <w:r w:rsidR="005270E4">
        <w:rPr>
          <w:b/>
          <w:i/>
        </w:rPr>
        <w:t>preamble</w:t>
      </w:r>
      <w:r w:rsidR="00BA7B3F">
        <w:rPr>
          <w:b/>
          <w:i/>
        </w:rPr>
        <w:t xml:space="preserve"> design</w:t>
      </w:r>
      <w:r w:rsidR="005270E4" w:rsidRPr="0033192D">
        <w:rPr>
          <w:b/>
          <w:i/>
        </w:rPr>
        <w:t xml:space="preserve"> </w:t>
      </w:r>
      <w:r w:rsidRPr="0033192D">
        <w:rPr>
          <w:b/>
          <w:i/>
        </w:rPr>
        <w:t xml:space="preserve">considerably increases the </w:t>
      </w:r>
      <w:r w:rsidR="00E20038">
        <w:rPr>
          <w:b/>
          <w:i/>
        </w:rPr>
        <w:t xml:space="preserve">supported </w:t>
      </w:r>
      <w:r w:rsidRPr="0033192D">
        <w:rPr>
          <w:b/>
          <w:i/>
        </w:rPr>
        <w:t>beam footprint diameters</w:t>
      </w:r>
      <w:r w:rsidR="00664559">
        <w:rPr>
          <w:b/>
          <w:i/>
        </w:rPr>
        <w:t xml:space="preserve"> in NTN</w:t>
      </w:r>
      <w:r w:rsidR="00E20038">
        <w:rPr>
          <w:b/>
          <w:i/>
        </w:rPr>
        <w:t>.</w:t>
      </w:r>
      <w:r w:rsidRPr="0033192D">
        <w:rPr>
          <w:b/>
          <w:i/>
        </w:rPr>
        <w:t xml:space="preserve"> </w:t>
      </w:r>
    </w:p>
    <w:p w14:paraId="5E07F450" w14:textId="77777777" w:rsidR="00DE48BC" w:rsidRPr="00452CC3" w:rsidRDefault="00DE48BC" w:rsidP="00DE48BC">
      <w:pPr>
        <w:rPr>
          <w:b/>
          <w:i/>
          <w:lang w:val="en-GB"/>
        </w:rPr>
      </w:pPr>
      <w:r w:rsidRPr="00452CC3">
        <w:rPr>
          <w:b/>
          <w:i/>
          <w:u w:val="single"/>
          <w:lang w:val="en-GB"/>
        </w:rPr>
        <w:t>Proposal 2</w:t>
      </w:r>
      <w:r w:rsidRPr="00452CC3">
        <w:rPr>
          <w:b/>
          <w:i/>
          <w:lang w:val="en-GB"/>
        </w:rPr>
        <w:t xml:space="preserve">: For NTN, consider the use of 2-rooted preambles and study related PRACH occasions design. </w:t>
      </w:r>
    </w:p>
    <w:p w14:paraId="7C127AAD" w14:textId="040FDDA4" w:rsidR="00225438" w:rsidRPr="00225438" w:rsidRDefault="00225438" w:rsidP="00225438">
      <w:pPr>
        <w:rPr>
          <w:i/>
          <w:lang w:val="en-GB"/>
        </w:rPr>
      </w:pPr>
      <w:r w:rsidRPr="005270E4">
        <w:rPr>
          <w:b/>
          <w:i/>
          <w:u w:val="single"/>
          <w:lang w:val="en-GB"/>
        </w:rPr>
        <w:t xml:space="preserve">Proposal </w:t>
      </w:r>
      <w:r w:rsidR="00BA7B3F">
        <w:rPr>
          <w:b/>
          <w:i/>
          <w:u w:val="single"/>
          <w:lang w:val="en-GB"/>
        </w:rPr>
        <w:t>3</w:t>
      </w:r>
      <w:r w:rsidRPr="00225438">
        <w:rPr>
          <w:b/>
          <w:i/>
          <w:lang w:val="en-GB"/>
        </w:rPr>
        <w:t>: For NTN, support PRACH format configuration per beam.</w:t>
      </w:r>
    </w:p>
    <w:p w14:paraId="3D554F6E" w14:textId="4AD80E36" w:rsidR="00225438" w:rsidRDefault="00225438" w:rsidP="00225438">
      <w:pPr>
        <w:rPr>
          <w:b/>
          <w:i/>
          <w:lang w:val="en-GB"/>
        </w:rPr>
      </w:pPr>
      <w:r w:rsidRPr="005270E4">
        <w:rPr>
          <w:b/>
          <w:i/>
          <w:u w:val="single"/>
          <w:lang w:val="en-GB"/>
        </w:rPr>
        <w:t xml:space="preserve">Proposal </w:t>
      </w:r>
      <w:r w:rsidR="00BA7B3F">
        <w:rPr>
          <w:b/>
          <w:i/>
          <w:u w:val="single"/>
          <w:lang w:val="en-GB"/>
        </w:rPr>
        <w:t>4</w:t>
      </w:r>
      <w:r w:rsidRPr="00225438">
        <w:rPr>
          <w:b/>
          <w:i/>
          <w:lang w:val="en-GB"/>
        </w:rPr>
        <w:t xml:space="preserve">: Support more flexible and beam-specific configuration of PRACH occasions. </w:t>
      </w:r>
    </w:p>
    <w:p w14:paraId="05FB8455" w14:textId="77777777" w:rsidR="003D38B6" w:rsidRPr="00225438" w:rsidRDefault="003D38B6" w:rsidP="00225438">
      <w:pPr>
        <w:rPr>
          <w:b/>
          <w:i/>
          <w:lang w:val="en-GB"/>
        </w:rPr>
      </w:pPr>
    </w:p>
    <w:p w14:paraId="16BC01B1" w14:textId="7761CE03" w:rsidR="003D38B6" w:rsidRDefault="00225438" w:rsidP="00225438">
      <w:pPr>
        <w:rPr>
          <w:lang w:val="en-GB"/>
        </w:rPr>
      </w:pPr>
      <w:r w:rsidRPr="00225438">
        <w:rPr>
          <w:lang w:val="en-GB"/>
        </w:rPr>
        <w:t xml:space="preserve">On UL timing </w:t>
      </w:r>
      <w:r w:rsidR="003D38B6">
        <w:rPr>
          <w:lang w:val="en-GB"/>
        </w:rPr>
        <w:t xml:space="preserve">and frequency </w:t>
      </w:r>
      <w:r w:rsidRPr="00225438">
        <w:rPr>
          <w:lang w:val="en-GB"/>
        </w:rPr>
        <w:t>control, we have the following observation and proposals:</w:t>
      </w:r>
    </w:p>
    <w:p w14:paraId="7E2934AF" w14:textId="77777777" w:rsidR="008F1A62" w:rsidRDefault="008F1A62" w:rsidP="00225438">
      <w:pPr>
        <w:rPr>
          <w:lang w:val="en-GB"/>
        </w:rPr>
      </w:pPr>
    </w:p>
    <w:p w14:paraId="5062FB83" w14:textId="720915BA" w:rsidR="00225438" w:rsidRPr="00041A36" w:rsidRDefault="00041A36" w:rsidP="00225438">
      <w:pPr>
        <w:rPr>
          <w:b/>
          <w:i/>
          <w:lang w:val="en-GB"/>
        </w:rPr>
      </w:pPr>
      <w:r w:rsidRPr="00041A36">
        <w:rPr>
          <w:b/>
          <w:i/>
          <w:lang w:val="en-GB"/>
        </w:rPr>
        <w:t xml:space="preserve">Observation </w:t>
      </w:r>
      <w:r w:rsidR="009962C9">
        <w:rPr>
          <w:b/>
          <w:i/>
          <w:lang w:val="en-GB"/>
        </w:rPr>
        <w:t>3</w:t>
      </w:r>
      <w:r w:rsidRPr="00041A36">
        <w:rPr>
          <w:b/>
          <w:i/>
          <w:lang w:val="en-GB"/>
        </w:rPr>
        <w:t>: NR closed-loop timing control mechanism is not sufficient for NTN.</w:t>
      </w:r>
    </w:p>
    <w:p w14:paraId="33D5F41A" w14:textId="48C03F6A" w:rsidR="00225438" w:rsidRDefault="00225438" w:rsidP="00225438">
      <w:pPr>
        <w:rPr>
          <w:b/>
          <w:i/>
          <w:lang w:val="en-GB"/>
        </w:rPr>
      </w:pPr>
      <w:r w:rsidRPr="005270E4">
        <w:rPr>
          <w:b/>
          <w:i/>
          <w:u w:val="single"/>
          <w:lang w:val="en-GB"/>
        </w:rPr>
        <w:t xml:space="preserve">Proposal </w:t>
      </w:r>
      <w:r w:rsidR="00BA7B3F">
        <w:rPr>
          <w:b/>
          <w:i/>
          <w:u w:val="single"/>
          <w:lang w:val="en-GB"/>
        </w:rPr>
        <w:t>5</w:t>
      </w:r>
      <w:r w:rsidRPr="00041A36">
        <w:rPr>
          <w:b/>
          <w:i/>
          <w:lang w:val="en-GB"/>
        </w:rPr>
        <w:t>: In NTN, UE autonomous open-loop timing control is required.</w:t>
      </w:r>
    </w:p>
    <w:p w14:paraId="2B0DF626" w14:textId="44B94418" w:rsidR="002F5D7F" w:rsidRPr="00041A36" w:rsidRDefault="002F5D7F" w:rsidP="00225438">
      <w:pPr>
        <w:rPr>
          <w:b/>
          <w:i/>
          <w:lang w:val="en-GB"/>
        </w:rPr>
      </w:pPr>
      <w:r w:rsidRPr="009962C9">
        <w:rPr>
          <w:b/>
          <w:i/>
          <w:u w:val="single"/>
          <w:lang w:val="en-GB"/>
        </w:rPr>
        <w:t xml:space="preserve">Proposal </w:t>
      </w:r>
      <w:r w:rsidR="00BA7B3F">
        <w:rPr>
          <w:b/>
          <w:i/>
          <w:u w:val="single"/>
          <w:lang w:val="en-GB"/>
        </w:rPr>
        <w:t>6</w:t>
      </w:r>
      <w:r w:rsidRPr="009962C9">
        <w:rPr>
          <w:b/>
          <w:i/>
          <w:lang w:val="en-GB"/>
        </w:rPr>
        <w:t>: For LEO and MEO satellites, support broadcasting of parameter(s) to indicate the timing variation rate, e.g., v*cos</w:t>
      </w:r>
      <w:r w:rsidRPr="009962C9">
        <w:rPr>
          <w:rFonts w:ascii="Symbol" w:hAnsi="Symbol"/>
          <w:b/>
          <w:i/>
          <w:lang w:val="en-GB"/>
        </w:rPr>
        <w:t></w:t>
      </w:r>
      <w:r w:rsidRPr="009962C9">
        <w:rPr>
          <w:b/>
          <w:i/>
          <w:lang w:val="en-GB"/>
        </w:rPr>
        <w:t xml:space="preserve"> where v is the satellite velocity and </w:t>
      </w:r>
      <w:r w:rsidRPr="009962C9">
        <w:rPr>
          <w:rFonts w:ascii="Symbol" w:hAnsi="Symbol"/>
          <w:b/>
          <w:i/>
          <w:lang w:val="en-GB"/>
        </w:rPr>
        <w:t></w:t>
      </w:r>
      <w:r w:rsidRPr="009962C9">
        <w:rPr>
          <w:b/>
          <w:i/>
          <w:lang w:val="en-GB"/>
        </w:rPr>
        <w:t xml:space="preserve"> is the angle between satellite moving direction and the line connecting satellite and the beam </w:t>
      </w:r>
      <w:proofErr w:type="spellStart"/>
      <w:r w:rsidRPr="009962C9">
        <w:rPr>
          <w:b/>
          <w:i/>
          <w:lang w:val="en-GB"/>
        </w:rPr>
        <w:t>center</w:t>
      </w:r>
      <w:proofErr w:type="spellEnd"/>
      <w:r w:rsidRPr="009962C9">
        <w:rPr>
          <w:b/>
          <w:i/>
          <w:lang w:val="en-GB"/>
        </w:rPr>
        <w:t>.</w:t>
      </w:r>
    </w:p>
    <w:p w14:paraId="16449AE2" w14:textId="58B51900" w:rsidR="002F5D7F" w:rsidRPr="00041A36" w:rsidRDefault="00225438" w:rsidP="00225438">
      <w:pPr>
        <w:rPr>
          <w:b/>
          <w:i/>
          <w:lang w:val="en-GB"/>
        </w:rPr>
      </w:pPr>
      <w:r w:rsidRPr="005270E4">
        <w:rPr>
          <w:b/>
          <w:i/>
          <w:u w:val="single"/>
          <w:lang w:val="en-GB"/>
        </w:rPr>
        <w:t xml:space="preserve">Proposal </w:t>
      </w:r>
      <w:r w:rsidR="00BA7B3F">
        <w:rPr>
          <w:b/>
          <w:i/>
          <w:u w:val="single"/>
          <w:lang w:val="en-GB"/>
        </w:rPr>
        <w:t>7</w:t>
      </w:r>
      <w:r w:rsidRPr="00041A36">
        <w:rPr>
          <w:b/>
          <w:i/>
          <w:lang w:val="en-GB"/>
        </w:rPr>
        <w:t xml:space="preserve">: </w:t>
      </w:r>
      <w:r w:rsidR="005C7709">
        <w:rPr>
          <w:b/>
          <w:i/>
          <w:lang w:val="en-GB"/>
        </w:rPr>
        <w:t xml:space="preserve">Consider </w:t>
      </w:r>
      <w:r w:rsidRPr="00041A36">
        <w:rPr>
          <w:b/>
          <w:i/>
          <w:lang w:val="en-GB"/>
        </w:rPr>
        <w:t>group-common DCI for UL timing control in NTN.</w:t>
      </w:r>
    </w:p>
    <w:p w14:paraId="50C72BFE" w14:textId="49D79C67" w:rsidR="00225438" w:rsidRPr="00BA7B3F" w:rsidRDefault="003D38B6" w:rsidP="00225438">
      <w:pPr>
        <w:rPr>
          <w:b/>
          <w:i/>
          <w:lang w:val="en-GB"/>
        </w:rPr>
      </w:pPr>
      <w:r w:rsidRPr="005270E4">
        <w:rPr>
          <w:b/>
          <w:i/>
          <w:u w:val="single"/>
          <w:lang w:val="en-GB"/>
        </w:rPr>
        <w:t xml:space="preserve">Proposal </w:t>
      </w:r>
      <w:r w:rsidR="00BA7B3F">
        <w:rPr>
          <w:b/>
          <w:i/>
          <w:u w:val="single"/>
          <w:lang w:val="en-GB"/>
        </w:rPr>
        <w:t>8</w:t>
      </w:r>
      <w:r w:rsidRPr="003D38B6">
        <w:rPr>
          <w:b/>
          <w:i/>
          <w:lang w:val="en-GB"/>
        </w:rPr>
        <w:t>: Study enhanced SRS design to support efficient estimation of large timing and frequency offset.</w:t>
      </w: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4FF2BF53" w14:textId="0B7A4983" w:rsidR="00BA7B3F" w:rsidRDefault="00BA7B3F" w:rsidP="00216135">
      <w:pPr>
        <w:pStyle w:val="ListParagraph"/>
        <w:numPr>
          <w:ilvl w:val="0"/>
          <w:numId w:val="2"/>
        </w:numPr>
        <w:rPr>
          <w:rFonts w:ascii="Times New Roman" w:hAnsi="Times New Roman"/>
          <w:sz w:val="20"/>
          <w:szCs w:val="20"/>
        </w:rPr>
      </w:pPr>
      <w:bookmarkStart w:id="10" w:name="_Ref461383190"/>
      <w:r>
        <w:rPr>
          <w:rFonts w:ascii="Times New Roman" w:hAnsi="Times New Roman"/>
          <w:sz w:val="20"/>
          <w:szCs w:val="20"/>
        </w:rPr>
        <w:t>Chai</w:t>
      </w:r>
      <w:r w:rsidR="00AB12B1">
        <w:rPr>
          <w:rFonts w:ascii="Times New Roman" w:hAnsi="Times New Roman"/>
          <w:sz w:val="20"/>
          <w:szCs w:val="20"/>
        </w:rPr>
        <w:t>r</w:t>
      </w:r>
      <w:r>
        <w:rPr>
          <w:rFonts w:ascii="Times New Roman" w:hAnsi="Times New Roman"/>
          <w:sz w:val="20"/>
          <w:szCs w:val="20"/>
        </w:rPr>
        <w:t>man’s notes, 3GPP</w:t>
      </w:r>
      <w:r w:rsidR="00AB12B1">
        <w:rPr>
          <w:rFonts w:ascii="Times New Roman" w:hAnsi="Times New Roman"/>
          <w:sz w:val="20"/>
          <w:szCs w:val="20"/>
        </w:rPr>
        <w:t xml:space="preserve"> RAN1#97.</w:t>
      </w:r>
    </w:p>
    <w:p w14:paraId="66EEF8C6" w14:textId="09AD145C" w:rsidR="00216135" w:rsidRPr="00216135" w:rsidRDefault="00216135" w:rsidP="00216135">
      <w:pPr>
        <w:pStyle w:val="ListParagraph"/>
        <w:numPr>
          <w:ilvl w:val="0"/>
          <w:numId w:val="2"/>
        </w:numPr>
        <w:rPr>
          <w:rFonts w:ascii="Times New Roman" w:hAnsi="Times New Roman"/>
          <w:sz w:val="20"/>
          <w:szCs w:val="20"/>
        </w:rPr>
      </w:pPr>
      <w:r w:rsidRPr="00216135">
        <w:rPr>
          <w:rFonts w:ascii="Times New Roman" w:hAnsi="Times New Roman"/>
          <w:sz w:val="20"/>
          <w:szCs w:val="20"/>
        </w:rPr>
        <w:t>R1-19</w:t>
      </w:r>
      <w:r>
        <w:rPr>
          <w:rFonts w:ascii="Times New Roman" w:hAnsi="Times New Roman"/>
          <w:sz w:val="20"/>
          <w:szCs w:val="20"/>
        </w:rPr>
        <w:t>1111</w:t>
      </w:r>
      <w:r w:rsidR="00BA7B3F">
        <w:rPr>
          <w:rFonts w:ascii="Times New Roman" w:hAnsi="Times New Roman"/>
          <w:sz w:val="20"/>
          <w:szCs w:val="20"/>
        </w:rPr>
        <w:t xml:space="preserve">3, Evaluations of 2-rooted PRACH preamble, Qualcomm, </w:t>
      </w:r>
      <w:r w:rsidRPr="00216135">
        <w:rPr>
          <w:rFonts w:ascii="Times New Roman" w:hAnsi="Times New Roman"/>
          <w:sz w:val="20"/>
          <w:szCs w:val="20"/>
        </w:rPr>
        <w:t>3GPP RN1 #9</w:t>
      </w:r>
      <w:r w:rsidR="00BA7B3F">
        <w:rPr>
          <w:rFonts w:ascii="Times New Roman" w:hAnsi="Times New Roman"/>
          <w:sz w:val="20"/>
          <w:szCs w:val="20"/>
        </w:rPr>
        <w:t>8bis</w:t>
      </w:r>
      <w:r w:rsidRPr="00216135">
        <w:rPr>
          <w:rFonts w:ascii="Times New Roman" w:hAnsi="Times New Roman"/>
          <w:sz w:val="20"/>
          <w:szCs w:val="20"/>
        </w:rPr>
        <w:t xml:space="preserve">, </w:t>
      </w:r>
      <w:r w:rsidR="00BA7B3F">
        <w:rPr>
          <w:rFonts w:ascii="Times New Roman" w:hAnsi="Times New Roman"/>
          <w:sz w:val="20"/>
          <w:szCs w:val="20"/>
        </w:rPr>
        <w:t>Oct</w:t>
      </w:r>
      <w:r w:rsidRPr="00216135">
        <w:rPr>
          <w:rFonts w:ascii="Times New Roman" w:hAnsi="Times New Roman"/>
          <w:sz w:val="20"/>
          <w:szCs w:val="20"/>
        </w:rPr>
        <w:t xml:space="preserve">. 2019. </w:t>
      </w:r>
    </w:p>
    <w:p w14:paraId="45D5CA0F" w14:textId="6D62DE7C" w:rsidR="00CE53DF" w:rsidRPr="00097EF2" w:rsidRDefault="00CE53DF" w:rsidP="00AB12B1">
      <w:pPr>
        <w:pStyle w:val="ListParagraph"/>
        <w:ind w:left="567"/>
        <w:jc w:val="both"/>
        <w:rPr>
          <w:rFonts w:ascii="Times New Roman" w:eastAsia="SimSun" w:hAnsi="Times New Roman"/>
          <w:sz w:val="20"/>
          <w:szCs w:val="20"/>
        </w:rPr>
      </w:pPr>
      <w:bookmarkStart w:id="11" w:name="_GoBack"/>
      <w:bookmarkEnd w:id="7"/>
      <w:bookmarkEnd w:id="8"/>
      <w:bookmarkEnd w:id="9"/>
      <w:bookmarkEnd w:id="10"/>
      <w:bookmarkEnd w:id="11"/>
    </w:p>
    <w:sectPr w:rsidR="00CE53DF" w:rsidRPr="00097EF2"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EC60EC" w14:textId="77777777" w:rsidR="006F66E8" w:rsidRDefault="006F66E8">
      <w:r>
        <w:separator/>
      </w:r>
    </w:p>
  </w:endnote>
  <w:endnote w:type="continuationSeparator" w:id="0">
    <w:p w14:paraId="640D863D" w14:textId="77777777" w:rsidR="006F66E8" w:rsidRDefault="006F66E8">
      <w:r>
        <w:continuationSeparator/>
      </w:r>
    </w:p>
  </w:endnote>
  <w:endnote w:type="continuationNotice" w:id="1">
    <w:p w14:paraId="3D9A4785" w14:textId="77777777" w:rsidR="006F66E8" w:rsidRDefault="006F66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0D737" w14:textId="77777777" w:rsidR="006F66E8" w:rsidRDefault="006F66E8">
      <w:r>
        <w:separator/>
      </w:r>
    </w:p>
  </w:footnote>
  <w:footnote w:type="continuationSeparator" w:id="0">
    <w:p w14:paraId="6F3D5F19" w14:textId="77777777" w:rsidR="006F66E8" w:rsidRDefault="006F66E8">
      <w:r>
        <w:continuationSeparator/>
      </w:r>
    </w:p>
  </w:footnote>
  <w:footnote w:type="continuationNotice" w:id="1">
    <w:p w14:paraId="706743E4" w14:textId="77777777" w:rsidR="006F66E8" w:rsidRDefault="006F66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D20B5"/>
    <w:multiLevelType w:val="hybridMultilevel"/>
    <w:tmpl w:val="FEE4F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0D1DFF"/>
    <w:multiLevelType w:val="hybridMultilevel"/>
    <w:tmpl w:val="E8025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3ED186D"/>
    <w:multiLevelType w:val="hybridMultilevel"/>
    <w:tmpl w:val="68365258"/>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6E27AD"/>
    <w:multiLevelType w:val="hybridMultilevel"/>
    <w:tmpl w:val="A628C48E"/>
    <w:lvl w:ilvl="0" w:tplc="252EA412">
      <w:start w:val="1"/>
      <w:numFmt w:val="bullet"/>
      <w:lvlText w:val="•"/>
      <w:lvlJc w:val="left"/>
      <w:pPr>
        <w:tabs>
          <w:tab w:val="num" w:pos="720"/>
        </w:tabs>
        <w:ind w:left="720" w:hanging="360"/>
      </w:pPr>
      <w:rPr>
        <w:rFonts w:ascii="Arial" w:hAnsi="Arial" w:hint="default"/>
      </w:rPr>
    </w:lvl>
    <w:lvl w:ilvl="1" w:tplc="F3CC92EA" w:tentative="1">
      <w:start w:val="1"/>
      <w:numFmt w:val="bullet"/>
      <w:lvlText w:val="•"/>
      <w:lvlJc w:val="left"/>
      <w:pPr>
        <w:tabs>
          <w:tab w:val="num" w:pos="1440"/>
        </w:tabs>
        <w:ind w:left="1440" w:hanging="360"/>
      </w:pPr>
      <w:rPr>
        <w:rFonts w:ascii="Arial" w:hAnsi="Arial" w:hint="default"/>
      </w:rPr>
    </w:lvl>
    <w:lvl w:ilvl="2" w:tplc="BC162498" w:tentative="1">
      <w:start w:val="1"/>
      <w:numFmt w:val="bullet"/>
      <w:lvlText w:val="•"/>
      <w:lvlJc w:val="left"/>
      <w:pPr>
        <w:tabs>
          <w:tab w:val="num" w:pos="2160"/>
        </w:tabs>
        <w:ind w:left="2160" w:hanging="360"/>
      </w:pPr>
      <w:rPr>
        <w:rFonts w:ascii="Arial" w:hAnsi="Arial" w:hint="default"/>
      </w:rPr>
    </w:lvl>
    <w:lvl w:ilvl="3" w:tplc="5388FA34" w:tentative="1">
      <w:start w:val="1"/>
      <w:numFmt w:val="bullet"/>
      <w:lvlText w:val="•"/>
      <w:lvlJc w:val="left"/>
      <w:pPr>
        <w:tabs>
          <w:tab w:val="num" w:pos="2880"/>
        </w:tabs>
        <w:ind w:left="2880" w:hanging="360"/>
      </w:pPr>
      <w:rPr>
        <w:rFonts w:ascii="Arial" w:hAnsi="Arial" w:hint="default"/>
      </w:rPr>
    </w:lvl>
    <w:lvl w:ilvl="4" w:tplc="42F87802" w:tentative="1">
      <w:start w:val="1"/>
      <w:numFmt w:val="bullet"/>
      <w:lvlText w:val="•"/>
      <w:lvlJc w:val="left"/>
      <w:pPr>
        <w:tabs>
          <w:tab w:val="num" w:pos="3600"/>
        </w:tabs>
        <w:ind w:left="3600" w:hanging="360"/>
      </w:pPr>
      <w:rPr>
        <w:rFonts w:ascii="Arial" w:hAnsi="Arial" w:hint="default"/>
      </w:rPr>
    </w:lvl>
    <w:lvl w:ilvl="5" w:tplc="67AA5356" w:tentative="1">
      <w:start w:val="1"/>
      <w:numFmt w:val="bullet"/>
      <w:lvlText w:val="•"/>
      <w:lvlJc w:val="left"/>
      <w:pPr>
        <w:tabs>
          <w:tab w:val="num" w:pos="4320"/>
        </w:tabs>
        <w:ind w:left="4320" w:hanging="360"/>
      </w:pPr>
      <w:rPr>
        <w:rFonts w:ascii="Arial" w:hAnsi="Arial" w:hint="default"/>
      </w:rPr>
    </w:lvl>
    <w:lvl w:ilvl="6" w:tplc="91280DBA" w:tentative="1">
      <w:start w:val="1"/>
      <w:numFmt w:val="bullet"/>
      <w:lvlText w:val="•"/>
      <w:lvlJc w:val="left"/>
      <w:pPr>
        <w:tabs>
          <w:tab w:val="num" w:pos="5040"/>
        </w:tabs>
        <w:ind w:left="5040" w:hanging="360"/>
      </w:pPr>
      <w:rPr>
        <w:rFonts w:ascii="Arial" w:hAnsi="Arial" w:hint="default"/>
      </w:rPr>
    </w:lvl>
    <w:lvl w:ilvl="7" w:tplc="F8E2BDA0" w:tentative="1">
      <w:start w:val="1"/>
      <w:numFmt w:val="bullet"/>
      <w:lvlText w:val="•"/>
      <w:lvlJc w:val="left"/>
      <w:pPr>
        <w:tabs>
          <w:tab w:val="num" w:pos="5760"/>
        </w:tabs>
        <w:ind w:left="5760" w:hanging="360"/>
      </w:pPr>
      <w:rPr>
        <w:rFonts w:ascii="Arial" w:hAnsi="Arial" w:hint="default"/>
      </w:rPr>
    </w:lvl>
    <w:lvl w:ilvl="8" w:tplc="3282F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4"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2236A2"/>
    <w:multiLevelType w:val="hybridMultilevel"/>
    <w:tmpl w:val="35D8E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90E677B"/>
    <w:multiLevelType w:val="hybridMultilevel"/>
    <w:tmpl w:val="710A019C"/>
    <w:lvl w:ilvl="0" w:tplc="FD7C40D8">
      <w:start w:val="1"/>
      <w:numFmt w:val="bullet"/>
      <w:lvlText w:val="•"/>
      <w:lvlJc w:val="left"/>
      <w:pPr>
        <w:tabs>
          <w:tab w:val="num" w:pos="648"/>
        </w:tabs>
        <w:ind w:left="648" w:hanging="360"/>
      </w:pPr>
      <w:rPr>
        <w:rFonts w:ascii="Arial" w:hAnsi="Arial" w:hint="default"/>
      </w:rPr>
    </w:lvl>
    <w:lvl w:ilvl="1" w:tplc="1A6E54EE">
      <w:start w:val="185"/>
      <w:numFmt w:val="bullet"/>
      <w:lvlText w:val="◦"/>
      <w:lvlJc w:val="left"/>
      <w:pPr>
        <w:tabs>
          <w:tab w:val="num" w:pos="1368"/>
        </w:tabs>
        <w:ind w:left="1368" w:hanging="360"/>
      </w:pPr>
      <w:rPr>
        <w:rFonts w:ascii="Microsoft Sans Serif" w:hAnsi="Microsoft Sans Serif" w:hint="default"/>
      </w:rPr>
    </w:lvl>
    <w:lvl w:ilvl="2" w:tplc="AAA27D28" w:tentative="1">
      <w:start w:val="1"/>
      <w:numFmt w:val="bullet"/>
      <w:lvlText w:val="•"/>
      <w:lvlJc w:val="left"/>
      <w:pPr>
        <w:tabs>
          <w:tab w:val="num" w:pos="2088"/>
        </w:tabs>
        <w:ind w:left="2088" w:hanging="360"/>
      </w:pPr>
      <w:rPr>
        <w:rFonts w:ascii="Arial" w:hAnsi="Arial" w:hint="default"/>
      </w:rPr>
    </w:lvl>
    <w:lvl w:ilvl="3" w:tplc="D80CF14A" w:tentative="1">
      <w:start w:val="1"/>
      <w:numFmt w:val="bullet"/>
      <w:lvlText w:val="•"/>
      <w:lvlJc w:val="left"/>
      <w:pPr>
        <w:tabs>
          <w:tab w:val="num" w:pos="2808"/>
        </w:tabs>
        <w:ind w:left="2808" w:hanging="360"/>
      </w:pPr>
      <w:rPr>
        <w:rFonts w:ascii="Arial" w:hAnsi="Arial" w:hint="default"/>
      </w:rPr>
    </w:lvl>
    <w:lvl w:ilvl="4" w:tplc="4720247A" w:tentative="1">
      <w:start w:val="1"/>
      <w:numFmt w:val="bullet"/>
      <w:lvlText w:val="•"/>
      <w:lvlJc w:val="left"/>
      <w:pPr>
        <w:tabs>
          <w:tab w:val="num" w:pos="3528"/>
        </w:tabs>
        <w:ind w:left="3528" w:hanging="360"/>
      </w:pPr>
      <w:rPr>
        <w:rFonts w:ascii="Arial" w:hAnsi="Arial" w:hint="default"/>
      </w:rPr>
    </w:lvl>
    <w:lvl w:ilvl="5" w:tplc="DDF238BC" w:tentative="1">
      <w:start w:val="1"/>
      <w:numFmt w:val="bullet"/>
      <w:lvlText w:val="•"/>
      <w:lvlJc w:val="left"/>
      <w:pPr>
        <w:tabs>
          <w:tab w:val="num" w:pos="4248"/>
        </w:tabs>
        <w:ind w:left="4248" w:hanging="360"/>
      </w:pPr>
      <w:rPr>
        <w:rFonts w:ascii="Arial" w:hAnsi="Arial" w:hint="default"/>
      </w:rPr>
    </w:lvl>
    <w:lvl w:ilvl="6" w:tplc="D88AC6AE" w:tentative="1">
      <w:start w:val="1"/>
      <w:numFmt w:val="bullet"/>
      <w:lvlText w:val="•"/>
      <w:lvlJc w:val="left"/>
      <w:pPr>
        <w:tabs>
          <w:tab w:val="num" w:pos="4968"/>
        </w:tabs>
        <w:ind w:left="4968" w:hanging="360"/>
      </w:pPr>
      <w:rPr>
        <w:rFonts w:ascii="Arial" w:hAnsi="Arial" w:hint="default"/>
      </w:rPr>
    </w:lvl>
    <w:lvl w:ilvl="7" w:tplc="B064751E" w:tentative="1">
      <w:start w:val="1"/>
      <w:numFmt w:val="bullet"/>
      <w:lvlText w:val="•"/>
      <w:lvlJc w:val="left"/>
      <w:pPr>
        <w:tabs>
          <w:tab w:val="num" w:pos="5688"/>
        </w:tabs>
        <w:ind w:left="5688" w:hanging="360"/>
      </w:pPr>
      <w:rPr>
        <w:rFonts w:ascii="Arial" w:hAnsi="Arial" w:hint="default"/>
      </w:rPr>
    </w:lvl>
    <w:lvl w:ilvl="8" w:tplc="97FC28F8" w:tentative="1">
      <w:start w:val="1"/>
      <w:numFmt w:val="bullet"/>
      <w:lvlText w:val="•"/>
      <w:lvlJc w:val="left"/>
      <w:pPr>
        <w:tabs>
          <w:tab w:val="num" w:pos="6408"/>
        </w:tabs>
        <w:ind w:left="6408" w:hanging="360"/>
      </w:pPr>
      <w:rPr>
        <w:rFonts w:ascii="Arial" w:hAnsi="Arial"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BBD43A6"/>
    <w:multiLevelType w:val="hybridMultilevel"/>
    <w:tmpl w:val="169E11E8"/>
    <w:lvl w:ilvl="0" w:tplc="3B80E82E">
      <w:start w:val="1"/>
      <w:numFmt w:val="bullet"/>
      <w:lvlText w:val="•"/>
      <w:lvlJc w:val="left"/>
      <w:pPr>
        <w:tabs>
          <w:tab w:val="num" w:pos="720"/>
        </w:tabs>
        <w:ind w:left="720" w:hanging="360"/>
      </w:pPr>
      <w:rPr>
        <w:rFonts w:ascii="Arial" w:hAnsi="Arial" w:hint="default"/>
      </w:rPr>
    </w:lvl>
    <w:lvl w:ilvl="1" w:tplc="BFC8FB38" w:tentative="1">
      <w:start w:val="1"/>
      <w:numFmt w:val="bullet"/>
      <w:lvlText w:val="•"/>
      <w:lvlJc w:val="left"/>
      <w:pPr>
        <w:tabs>
          <w:tab w:val="num" w:pos="1440"/>
        </w:tabs>
        <w:ind w:left="1440" w:hanging="360"/>
      </w:pPr>
      <w:rPr>
        <w:rFonts w:ascii="Arial" w:hAnsi="Arial" w:hint="default"/>
      </w:rPr>
    </w:lvl>
    <w:lvl w:ilvl="2" w:tplc="21668976" w:tentative="1">
      <w:start w:val="1"/>
      <w:numFmt w:val="bullet"/>
      <w:lvlText w:val="•"/>
      <w:lvlJc w:val="left"/>
      <w:pPr>
        <w:tabs>
          <w:tab w:val="num" w:pos="2160"/>
        </w:tabs>
        <w:ind w:left="2160" w:hanging="360"/>
      </w:pPr>
      <w:rPr>
        <w:rFonts w:ascii="Arial" w:hAnsi="Arial" w:hint="default"/>
      </w:rPr>
    </w:lvl>
    <w:lvl w:ilvl="3" w:tplc="17EC0380" w:tentative="1">
      <w:start w:val="1"/>
      <w:numFmt w:val="bullet"/>
      <w:lvlText w:val="•"/>
      <w:lvlJc w:val="left"/>
      <w:pPr>
        <w:tabs>
          <w:tab w:val="num" w:pos="2880"/>
        </w:tabs>
        <w:ind w:left="2880" w:hanging="360"/>
      </w:pPr>
      <w:rPr>
        <w:rFonts w:ascii="Arial" w:hAnsi="Arial" w:hint="default"/>
      </w:rPr>
    </w:lvl>
    <w:lvl w:ilvl="4" w:tplc="AAC4CDC4" w:tentative="1">
      <w:start w:val="1"/>
      <w:numFmt w:val="bullet"/>
      <w:lvlText w:val="•"/>
      <w:lvlJc w:val="left"/>
      <w:pPr>
        <w:tabs>
          <w:tab w:val="num" w:pos="3600"/>
        </w:tabs>
        <w:ind w:left="3600" w:hanging="360"/>
      </w:pPr>
      <w:rPr>
        <w:rFonts w:ascii="Arial" w:hAnsi="Arial" w:hint="default"/>
      </w:rPr>
    </w:lvl>
    <w:lvl w:ilvl="5" w:tplc="5A329E26" w:tentative="1">
      <w:start w:val="1"/>
      <w:numFmt w:val="bullet"/>
      <w:lvlText w:val="•"/>
      <w:lvlJc w:val="left"/>
      <w:pPr>
        <w:tabs>
          <w:tab w:val="num" w:pos="4320"/>
        </w:tabs>
        <w:ind w:left="4320" w:hanging="360"/>
      </w:pPr>
      <w:rPr>
        <w:rFonts w:ascii="Arial" w:hAnsi="Arial" w:hint="default"/>
      </w:rPr>
    </w:lvl>
    <w:lvl w:ilvl="6" w:tplc="B0A66428" w:tentative="1">
      <w:start w:val="1"/>
      <w:numFmt w:val="bullet"/>
      <w:lvlText w:val="•"/>
      <w:lvlJc w:val="left"/>
      <w:pPr>
        <w:tabs>
          <w:tab w:val="num" w:pos="5040"/>
        </w:tabs>
        <w:ind w:left="5040" w:hanging="360"/>
      </w:pPr>
      <w:rPr>
        <w:rFonts w:ascii="Arial" w:hAnsi="Arial" w:hint="default"/>
      </w:rPr>
    </w:lvl>
    <w:lvl w:ilvl="7" w:tplc="BA6C5166" w:tentative="1">
      <w:start w:val="1"/>
      <w:numFmt w:val="bullet"/>
      <w:lvlText w:val="•"/>
      <w:lvlJc w:val="left"/>
      <w:pPr>
        <w:tabs>
          <w:tab w:val="num" w:pos="5760"/>
        </w:tabs>
        <w:ind w:left="5760" w:hanging="360"/>
      </w:pPr>
      <w:rPr>
        <w:rFonts w:ascii="Arial" w:hAnsi="Arial" w:hint="default"/>
      </w:rPr>
    </w:lvl>
    <w:lvl w:ilvl="8" w:tplc="17C8C1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F496A6E"/>
    <w:multiLevelType w:val="hybridMultilevel"/>
    <w:tmpl w:val="7CFA0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A6254A"/>
    <w:multiLevelType w:val="hybridMultilevel"/>
    <w:tmpl w:val="7C5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59957FF6"/>
    <w:multiLevelType w:val="hybridMultilevel"/>
    <w:tmpl w:val="A8765E0C"/>
    <w:lvl w:ilvl="0" w:tplc="B8C4E7C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3C48AA"/>
    <w:multiLevelType w:val="hybridMultilevel"/>
    <w:tmpl w:val="DB726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74173A"/>
    <w:multiLevelType w:val="hybridMultilevel"/>
    <w:tmpl w:val="9140E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53"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num>
  <w:num w:numId="3">
    <w:abstractNumId w:val="5"/>
  </w:num>
  <w:num w:numId="4">
    <w:abstractNumId w:val="27"/>
  </w:num>
  <w:num w:numId="5">
    <w:abstractNumId w:val="23"/>
  </w:num>
  <w:num w:numId="6">
    <w:abstractNumId w:val="35"/>
  </w:num>
  <w:num w:numId="7">
    <w:abstractNumId w:val="55"/>
  </w:num>
  <w:num w:numId="8">
    <w:abstractNumId w:val="36"/>
  </w:num>
  <w:num w:numId="9">
    <w:abstractNumId w:val="32"/>
  </w:num>
  <w:num w:numId="10">
    <w:abstractNumId w:val="54"/>
  </w:num>
  <w:num w:numId="11">
    <w:abstractNumId w:val="31"/>
  </w:num>
  <w:num w:numId="12">
    <w:abstractNumId w:val="47"/>
  </w:num>
  <w:num w:numId="13">
    <w:abstractNumId w:val="33"/>
  </w:num>
  <w:num w:numId="14">
    <w:abstractNumId w:val="21"/>
  </w:num>
  <w:num w:numId="15">
    <w:abstractNumId w:val="16"/>
  </w:num>
  <w:num w:numId="16">
    <w:abstractNumId w:val="17"/>
  </w:num>
  <w:num w:numId="17">
    <w:abstractNumId w:val="38"/>
  </w:num>
  <w:num w:numId="18">
    <w:abstractNumId w:val="13"/>
  </w:num>
  <w:num w:numId="19">
    <w:abstractNumId w:val="26"/>
  </w:num>
  <w:num w:numId="20">
    <w:abstractNumId w:val="46"/>
  </w:num>
  <w:num w:numId="21">
    <w:abstractNumId w:val="52"/>
  </w:num>
  <w:num w:numId="22">
    <w:abstractNumId w:val="4"/>
  </w:num>
  <w:num w:numId="23">
    <w:abstractNumId w:val="44"/>
  </w:num>
  <w:num w:numId="24">
    <w:abstractNumId w:val="42"/>
  </w:num>
  <w:num w:numId="25">
    <w:abstractNumId w:val="30"/>
  </w:num>
  <w:num w:numId="26">
    <w:abstractNumId w:val="1"/>
  </w:num>
  <w:num w:numId="27">
    <w:abstractNumId w:val="50"/>
  </w:num>
  <w:num w:numId="28">
    <w:abstractNumId w:val="22"/>
  </w:num>
  <w:num w:numId="29">
    <w:abstractNumId w:val="7"/>
  </w:num>
  <w:num w:numId="30">
    <w:abstractNumId w:val="25"/>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8"/>
  </w:num>
  <w:num w:numId="34">
    <w:abstractNumId w:val="19"/>
  </w:num>
  <w:num w:numId="35">
    <w:abstractNumId w:val="51"/>
  </w:num>
  <w:num w:numId="36">
    <w:abstractNumId w:val="2"/>
  </w:num>
  <w:num w:numId="37">
    <w:abstractNumId w:val="15"/>
  </w:num>
  <w:num w:numId="38">
    <w:abstractNumId w:val="14"/>
  </w:num>
  <w:num w:numId="39">
    <w:abstractNumId w:val="43"/>
  </w:num>
  <w:num w:numId="40">
    <w:abstractNumId w:val="29"/>
  </w:num>
  <w:num w:numId="41">
    <w:abstractNumId w:val="3"/>
  </w:num>
  <w:num w:numId="42">
    <w:abstractNumId w:val="24"/>
  </w:num>
  <w:num w:numId="43">
    <w:abstractNumId w:val="9"/>
  </w:num>
  <w:num w:numId="44">
    <w:abstractNumId w:val="48"/>
  </w:num>
  <w:num w:numId="45">
    <w:abstractNumId w:val="8"/>
  </w:num>
  <w:num w:numId="46">
    <w:abstractNumId w:val="41"/>
  </w:num>
  <w:num w:numId="47">
    <w:abstractNumId w:val="49"/>
  </w:num>
  <w:num w:numId="48">
    <w:abstractNumId w:val="28"/>
  </w:num>
  <w:num w:numId="49">
    <w:abstractNumId w:val="53"/>
  </w:num>
  <w:num w:numId="50">
    <w:abstractNumId w:val="40"/>
  </w:num>
  <w:num w:numId="51">
    <w:abstractNumId w:val="34"/>
  </w:num>
  <w:num w:numId="52">
    <w:abstractNumId w:val="37"/>
  </w:num>
  <w:num w:numId="53">
    <w:abstractNumId w:val="12"/>
  </w:num>
  <w:num w:numId="54">
    <w:abstractNumId w:val="45"/>
  </w:num>
  <w:num w:numId="55">
    <w:abstractNumId w:val="11"/>
  </w:num>
  <w:num w:numId="56">
    <w:abstractNumId w:val="39"/>
  </w:num>
  <w:num w:numId="57">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6D8"/>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4D"/>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4C2"/>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6D4"/>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056"/>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135"/>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CC4"/>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3F6"/>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D7F"/>
    <w:rsid w:val="002F5FDA"/>
    <w:rsid w:val="002F63ED"/>
    <w:rsid w:val="002F6610"/>
    <w:rsid w:val="002F6AC6"/>
    <w:rsid w:val="002F6BDA"/>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714B"/>
    <w:rsid w:val="0034745C"/>
    <w:rsid w:val="003474CD"/>
    <w:rsid w:val="0034787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502"/>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B0E"/>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17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517"/>
    <w:rsid w:val="0046260A"/>
    <w:rsid w:val="00462B09"/>
    <w:rsid w:val="00462B31"/>
    <w:rsid w:val="00463167"/>
    <w:rsid w:val="00463337"/>
    <w:rsid w:val="00463448"/>
    <w:rsid w:val="004636FA"/>
    <w:rsid w:val="00463DE9"/>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1A0"/>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64"/>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BEF"/>
    <w:rsid w:val="004E3FD8"/>
    <w:rsid w:val="004E471C"/>
    <w:rsid w:val="004E4B3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6C2"/>
    <w:rsid w:val="004F2826"/>
    <w:rsid w:val="004F2AA6"/>
    <w:rsid w:val="004F2B9C"/>
    <w:rsid w:val="004F2CCE"/>
    <w:rsid w:val="004F3368"/>
    <w:rsid w:val="004F359A"/>
    <w:rsid w:val="004F3DD1"/>
    <w:rsid w:val="004F4208"/>
    <w:rsid w:val="004F4E53"/>
    <w:rsid w:val="004F58AB"/>
    <w:rsid w:val="004F5B14"/>
    <w:rsid w:val="004F5D4A"/>
    <w:rsid w:val="004F5D6E"/>
    <w:rsid w:val="004F5EBB"/>
    <w:rsid w:val="004F5F0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B04"/>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6E"/>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6223"/>
    <w:rsid w:val="005A6A3A"/>
    <w:rsid w:val="005A6E87"/>
    <w:rsid w:val="005A7F72"/>
    <w:rsid w:val="005B0A7D"/>
    <w:rsid w:val="005B0E61"/>
    <w:rsid w:val="005B0F18"/>
    <w:rsid w:val="005B105B"/>
    <w:rsid w:val="005B1197"/>
    <w:rsid w:val="005B152E"/>
    <w:rsid w:val="005B1552"/>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6E1"/>
    <w:rsid w:val="005E0899"/>
    <w:rsid w:val="005E0CB1"/>
    <w:rsid w:val="005E1393"/>
    <w:rsid w:val="005E1411"/>
    <w:rsid w:val="005E1C46"/>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4FF"/>
    <w:rsid w:val="005F06FA"/>
    <w:rsid w:val="005F06FD"/>
    <w:rsid w:val="005F0AB9"/>
    <w:rsid w:val="005F0B4C"/>
    <w:rsid w:val="005F0B53"/>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3FF7"/>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8EB"/>
    <w:rsid w:val="00684C91"/>
    <w:rsid w:val="00685115"/>
    <w:rsid w:val="006853FF"/>
    <w:rsid w:val="00685610"/>
    <w:rsid w:val="00685725"/>
    <w:rsid w:val="00685834"/>
    <w:rsid w:val="00685D3B"/>
    <w:rsid w:val="00685DB7"/>
    <w:rsid w:val="00685E34"/>
    <w:rsid w:val="0068623E"/>
    <w:rsid w:val="00686366"/>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5A70"/>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6E8"/>
    <w:rsid w:val="006F6740"/>
    <w:rsid w:val="006F6886"/>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50F"/>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3A5"/>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9AF"/>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5E4"/>
    <w:rsid w:val="008237B2"/>
    <w:rsid w:val="00823B2A"/>
    <w:rsid w:val="00823F61"/>
    <w:rsid w:val="0082449E"/>
    <w:rsid w:val="008247A4"/>
    <w:rsid w:val="008249FF"/>
    <w:rsid w:val="008251EC"/>
    <w:rsid w:val="00825511"/>
    <w:rsid w:val="00825693"/>
    <w:rsid w:val="008258E8"/>
    <w:rsid w:val="00825EEF"/>
    <w:rsid w:val="0082618F"/>
    <w:rsid w:val="00826204"/>
    <w:rsid w:val="008263E0"/>
    <w:rsid w:val="00826D90"/>
    <w:rsid w:val="00827015"/>
    <w:rsid w:val="00827109"/>
    <w:rsid w:val="008272E9"/>
    <w:rsid w:val="00827A41"/>
    <w:rsid w:val="00827AF3"/>
    <w:rsid w:val="00830C71"/>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1EC"/>
    <w:rsid w:val="00986956"/>
    <w:rsid w:val="00986B31"/>
    <w:rsid w:val="009873AF"/>
    <w:rsid w:val="009874EE"/>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36F"/>
    <w:rsid w:val="00994D59"/>
    <w:rsid w:val="009951AB"/>
    <w:rsid w:val="0099531F"/>
    <w:rsid w:val="00995360"/>
    <w:rsid w:val="009954AD"/>
    <w:rsid w:val="009962C9"/>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056"/>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520B"/>
    <w:rsid w:val="009C5785"/>
    <w:rsid w:val="009C5874"/>
    <w:rsid w:val="009C5AD8"/>
    <w:rsid w:val="009C610E"/>
    <w:rsid w:val="009C63C1"/>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244"/>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3DB"/>
    <w:rsid w:val="009F6410"/>
    <w:rsid w:val="009F6457"/>
    <w:rsid w:val="009F7169"/>
    <w:rsid w:val="009F7883"/>
    <w:rsid w:val="009F79BE"/>
    <w:rsid w:val="00A0018E"/>
    <w:rsid w:val="00A00B60"/>
    <w:rsid w:val="00A01006"/>
    <w:rsid w:val="00A01F7B"/>
    <w:rsid w:val="00A02B26"/>
    <w:rsid w:val="00A02BEC"/>
    <w:rsid w:val="00A02C96"/>
    <w:rsid w:val="00A02D52"/>
    <w:rsid w:val="00A02FBC"/>
    <w:rsid w:val="00A03A1D"/>
    <w:rsid w:val="00A03CC3"/>
    <w:rsid w:val="00A043B9"/>
    <w:rsid w:val="00A04446"/>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03D"/>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9C6"/>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2B1"/>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73"/>
    <w:rsid w:val="00B147CC"/>
    <w:rsid w:val="00B15141"/>
    <w:rsid w:val="00B151C6"/>
    <w:rsid w:val="00B1590A"/>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A28"/>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AD5"/>
    <w:rsid w:val="00B77B57"/>
    <w:rsid w:val="00B77D8A"/>
    <w:rsid w:val="00B8053A"/>
    <w:rsid w:val="00B80795"/>
    <w:rsid w:val="00B80A00"/>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8C9"/>
    <w:rsid w:val="00BA5A25"/>
    <w:rsid w:val="00BA5C97"/>
    <w:rsid w:val="00BA5EFB"/>
    <w:rsid w:val="00BA659A"/>
    <w:rsid w:val="00BA68C1"/>
    <w:rsid w:val="00BA6D50"/>
    <w:rsid w:val="00BA712E"/>
    <w:rsid w:val="00BA7423"/>
    <w:rsid w:val="00BA7688"/>
    <w:rsid w:val="00BA7B3F"/>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AD1"/>
    <w:rsid w:val="00BE2E99"/>
    <w:rsid w:val="00BE3AFA"/>
    <w:rsid w:val="00BE3DBF"/>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97"/>
    <w:rsid w:val="00BF66D7"/>
    <w:rsid w:val="00BF6FBF"/>
    <w:rsid w:val="00BF70A1"/>
    <w:rsid w:val="00BF70F8"/>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22"/>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146"/>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461"/>
    <w:rsid w:val="00D74AF7"/>
    <w:rsid w:val="00D74B95"/>
    <w:rsid w:val="00D74E61"/>
    <w:rsid w:val="00D7505F"/>
    <w:rsid w:val="00D75199"/>
    <w:rsid w:val="00D75277"/>
    <w:rsid w:val="00D755A0"/>
    <w:rsid w:val="00D75843"/>
    <w:rsid w:val="00D758A1"/>
    <w:rsid w:val="00D75E85"/>
    <w:rsid w:val="00D75F68"/>
    <w:rsid w:val="00D7643F"/>
    <w:rsid w:val="00D769F0"/>
    <w:rsid w:val="00D76E0D"/>
    <w:rsid w:val="00D76E83"/>
    <w:rsid w:val="00D771C9"/>
    <w:rsid w:val="00D77704"/>
    <w:rsid w:val="00D800A1"/>
    <w:rsid w:val="00D8036A"/>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CF"/>
    <w:rsid w:val="00D86B37"/>
    <w:rsid w:val="00D86EF6"/>
    <w:rsid w:val="00D87154"/>
    <w:rsid w:val="00D8733C"/>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D8"/>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03E"/>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8C1"/>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32"/>
    <w:rsid w:val="00DF5C89"/>
    <w:rsid w:val="00DF6014"/>
    <w:rsid w:val="00DF624A"/>
    <w:rsid w:val="00DF6531"/>
    <w:rsid w:val="00DF6824"/>
    <w:rsid w:val="00DF68DA"/>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F22"/>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1D0"/>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BBE"/>
    <w:rsid w:val="00F35E92"/>
    <w:rsid w:val="00F360BA"/>
    <w:rsid w:val="00F366CE"/>
    <w:rsid w:val="00F369FF"/>
    <w:rsid w:val="00F36CD0"/>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0F2"/>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BB7"/>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0C5E"/>
    <w:rsid w:val="00FD10D2"/>
    <w:rsid w:val="00FD235B"/>
    <w:rsid w:val="00FD2804"/>
    <w:rsid w:val="00FD282A"/>
    <w:rsid w:val="00FD2A71"/>
    <w:rsid w:val="00FD3124"/>
    <w:rsid w:val="00FD35EE"/>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404388">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19596897">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458264-9817-4457-A91B-C0850365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Pages>
  <Words>2503</Words>
  <Characters>14270</Characters>
  <Application>Microsoft Office Word</Application>
  <DocSecurity>0</DocSecurity>
  <Lines>118</Lines>
  <Paragraphs>33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TSG-RAN WG1 #84</vt:lpstr>
      <vt:lpstr>Introduction</vt:lpstr>
      <vt:lpstr>RACH </vt:lpstr>
      <vt:lpstr>    PRACH format and beam footprint</vt:lpstr>
      <vt:lpstr>    PRACH Occasion</vt:lpstr>
      <vt:lpstr>UL Timing Control</vt:lpstr>
      <vt:lpstr>UL SRS for Timing and Frequency Control</vt:lpstr>
      <vt:lpstr>Conclusions</vt:lpstr>
      <vt:lpstr>References	</vt:lpstr>
    </vt:vector>
  </TitlesOfParts>
  <Company>Qualcomm Inc.</Company>
  <LinksUpToDate>false</LinksUpToDate>
  <CharactersWithSpaces>16740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7</cp:revision>
  <cp:lastPrinted>2014-11-07T05:38:00Z</cp:lastPrinted>
  <dcterms:created xsi:type="dcterms:W3CDTF">2019-10-04T20:40:00Z</dcterms:created>
  <dcterms:modified xsi:type="dcterms:W3CDTF">2019-10-04T21:27:00Z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ies>
</file>